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8F11E" w14:textId="77777777" w:rsidR="00CD18C0" w:rsidRDefault="00CD18C0" w:rsidP="00CD18C0">
      <w:pPr>
        <w:jc w:val="center"/>
        <w:rPr>
          <w:rFonts w:cstheme="minorHAnsi"/>
          <w:b/>
          <w:sz w:val="48"/>
          <w:szCs w:val="48"/>
        </w:rPr>
      </w:pPr>
      <w:r>
        <w:rPr>
          <w:rFonts w:cstheme="minorHAnsi"/>
          <w:b/>
          <w:sz w:val="48"/>
          <w:szCs w:val="48"/>
        </w:rPr>
        <w:t>Little Bitterroot Lake Association</w:t>
      </w:r>
    </w:p>
    <w:p w14:paraId="7DF6CF41" w14:textId="52A78B13" w:rsidR="00CD18C0" w:rsidRDefault="00CD18C0" w:rsidP="00CD18C0">
      <w:pPr>
        <w:jc w:val="center"/>
        <w:rPr>
          <w:rFonts w:cstheme="minorHAnsi"/>
          <w:b/>
          <w:sz w:val="48"/>
          <w:szCs w:val="48"/>
        </w:rPr>
      </w:pPr>
      <w:r>
        <w:rPr>
          <w:rFonts w:cstheme="minorHAnsi"/>
          <w:b/>
          <w:sz w:val="48"/>
          <w:szCs w:val="48"/>
        </w:rPr>
        <w:t>Eutrophication Study 202</w:t>
      </w:r>
      <w:r w:rsidR="00094526">
        <w:rPr>
          <w:rFonts w:cstheme="minorHAnsi"/>
          <w:b/>
          <w:sz w:val="48"/>
          <w:szCs w:val="48"/>
        </w:rPr>
        <w:t>2</w:t>
      </w:r>
    </w:p>
    <w:p w14:paraId="5410A011" w14:textId="77777777" w:rsidR="00C6280D" w:rsidRDefault="00CD18C0" w:rsidP="00CD18C0">
      <w:pPr>
        <w:jc w:val="center"/>
        <w:rPr>
          <w:rFonts w:cstheme="minorHAnsi"/>
          <w:b/>
          <w:sz w:val="48"/>
          <w:szCs w:val="48"/>
        </w:rPr>
      </w:pPr>
      <w:r>
        <w:rPr>
          <w:rFonts w:cstheme="minorHAnsi"/>
          <w:b/>
          <w:sz w:val="48"/>
          <w:szCs w:val="48"/>
        </w:rPr>
        <w:t xml:space="preserve">Sampling and Analysis Plan </w:t>
      </w:r>
    </w:p>
    <w:p w14:paraId="7E28BC23" w14:textId="77777777" w:rsidR="00E803CC" w:rsidRDefault="00E803CC" w:rsidP="00CD18C0">
      <w:pPr>
        <w:jc w:val="center"/>
        <w:rPr>
          <w:rFonts w:cstheme="minorHAnsi"/>
          <w:b/>
          <w:color w:val="FF0000"/>
          <w:sz w:val="48"/>
          <w:szCs w:val="48"/>
        </w:rPr>
      </w:pPr>
    </w:p>
    <w:p w14:paraId="79C5AE89" w14:textId="77777777" w:rsidR="00CD18C0" w:rsidRDefault="00CD18C0" w:rsidP="00CD18C0">
      <w:pPr>
        <w:jc w:val="center"/>
        <w:rPr>
          <w:rFonts w:cstheme="minorHAnsi"/>
          <w:b/>
          <w:sz w:val="48"/>
          <w:szCs w:val="48"/>
        </w:rPr>
      </w:pPr>
    </w:p>
    <w:p w14:paraId="12C1BEAB" w14:textId="71CC6E28" w:rsidR="00C63716" w:rsidRDefault="00997346" w:rsidP="0067616A">
      <w:pPr>
        <w:spacing w:after="360"/>
        <w:jc w:val="center"/>
        <w:rPr>
          <w:rFonts w:cstheme="minorHAnsi"/>
        </w:rPr>
      </w:pPr>
      <w:r w:rsidRPr="00997346">
        <w:rPr>
          <w:rFonts w:cstheme="minorHAnsi"/>
          <w:noProof/>
        </w:rPr>
        <mc:AlternateContent>
          <mc:Choice Requires="wps">
            <w:drawing>
              <wp:inline distT="0" distB="0" distL="0" distR="0" wp14:anchorId="0F56519E" wp14:editId="5738E6AC">
                <wp:extent cx="3209925" cy="2428875"/>
                <wp:effectExtent l="0" t="0" r="28575" b="2857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428875"/>
                        </a:xfrm>
                        <a:prstGeom prst="rect">
                          <a:avLst/>
                        </a:prstGeom>
                        <a:solidFill>
                          <a:srgbClr val="FFFFFF"/>
                        </a:solidFill>
                        <a:ln w="9525">
                          <a:solidFill>
                            <a:srgbClr val="000000"/>
                          </a:solidFill>
                          <a:miter lim="800000"/>
                          <a:headEnd/>
                          <a:tailEnd/>
                        </a:ln>
                      </wps:spPr>
                      <wps:txbx>
                        <w:txbxContent>
                          <w:p w14:paraId="2056F1C2" w14:textId="74B4E5AB" w:rsidR="00E803CC" w:rsidRPr="001C07F7" w:rsidRDefault="00E803CC" w:rsidP="00997346">
                            <w:pPr>
                              <w:jc w:val="center"/>
                              <w:rPr>
                                <w:rFonts w:cstheme="minorHAnsi"/>
                                <w:sz w:val="32"/>
                                <w:szCs w:val="32"/>
                              </w:rPr>
                            </w:pPr>
                            <w:r>
                              <w:rPr>
                                <w:noProof/>
                              </w:rPr>
                              <w:drawing>
                                <wp:inline distT="0" distB="0" distL="0" distR="0" wp14:anchorId="5ADBD48B" wp14:editId="46C5B5E1">
                                  <wp:extent cx="3018155" cy="2263775"/>
                                  <wp:effectExtent l="0" t="0" r="0" b="3175"/>
                                  <wp:docPr id="1" name="Picture 1" descr="K:\PROJECTS\LBHAM01-Little Bitterroot Homeowners\2018\Photos\IMG_5371.JPG"/>
                                  <wp:cNvGraphicFramePr/>
                                  <a:graphic xmlns:a="http://schemas.openxmlformats.org/drawingml/2006/main">
                                    <a:graphicData uri="http://schemas.openxmlformats.org/drawingml/2006/picture">
                                      <pic:pic xmlns:pic="http://schemas.openxmlformats.org/drawingml/2006/picture">
                                        <pic:nvPicPr>
                                          <pic:cNvPr id="1" name="Picture 1" descr="K:\PROJECTS\LBHAM01-Little Bitterroot Homeowners\2018\Photos\IMG_5371.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8155" cy="22637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w14:anchorId="0F56519E" id="_x0000_t202" coordsize="21600,21600" o:spt="202" path="m,l,21600r21600,l21600,xe">
                <v:stroke joinstyle="miter"/>
                <v:path gradientshapeok="t" o:connecttype="rect"/>
              </v:shapetype>
              <v:shape id="Text Box 2" o:spid="_x0000_s1026" type="#_x0000_t202" style="width:252.75pt;height:19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">
                <v:textbox>
                  <w:txbxContent>
                    <w:p w14:paraId="2056F1C2" w14:textId="74B4E5AB" w:rsidR="00E803CC" w:rsidRPr="001C07F7" w:rsidRDefault="00E803CC" w:rsidP="00997346">
                      <w:pPr>
                        <w:jc w:val="center"/>
                        <w:rPr>
                          <w:rFonts w:cstheme="minorHAnsi"/>
                          <w:sz w:val="32"/>
                          <w:szCs w:val="32"/>
                        </w:rPr>
                      </w:pPr>
                      <w:r>
                        <w:rPr>
                          <w:noProof/>
                        </w:rPr>
                        <w:drawing>
                          <wp:inline distT="0" distB="0" distL="0" distR="0" wp14:anchorId="5ADBD48B" wp14:editId="46C5B5E1">
                            <wp:extent cx="3018155" cy="2263775"/>
                            <wp:effectExtent l="0" t="0" r="0" b="3175"/>
                            <wp:docPr id="1" name="Picture 1" descr="K:\PROJECTS\LBHAM01-Little Bitterroot Homeowners\2018\Photos\IMG_5371.JPG"/>
                            <wp:cNvGraphicFramePr/>
                            <a:graphic xmlns:a="http://schemas.openxmlformats.org/drawingml/2006/main">
                              <a:graphicData uri="http://schemas.openxmlformats.org/drawingml/2006/picture">
                                <pic:pic xmlns:pic="http://schemas.openxmlformats.org/drawingml/2006/picture">
                                  <pic:nvPicPr>
                                    <pic:cNvPr id="1" name="Picture 1" descr="K:\PROJECTS\LBHAM01-Little Bitterroot Homeowners\2018\Photos\IMG_5371.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8155" cy="2263775"/>
                                    </a:xfrm>
                                    <a:prstGeom prst="rect">
                                      <a:avLst/>
                                    </a:prstGeom>
                                    <a:noFill/>
                                    <a:ln>
                                      <a:noFill/>
                                    </a:ln>
                                  </pic:spPr>
                                </pic:pic>
                              </a:graphicData>
                            </a:graphic>
                          </wp:inline>
                        </w:drawing>
                      </w:r>
                    </w:p>
                  </w:txbxContent>
                </v:textbox>
                <w10:anchorlock/>
              </v:shape>
            </w:pict>
          </mc:Fallback>
        </mc:AlternateContent>
      </w:r>
    </w:p>
    <w:p w14:paraId="3F7ABCC1" w14:textId="47A2A9E1" w:rsidR="00CD18C0" w:rsidRDefault="00094526" w:rsidP="00CD18C0">
      <w:pPr>
        <w:spacing w:after="360"/>
        <w:rPr>
          <w:rFonts w:cstheme="minorHAnsi"/>
          <w:sz w:val="28"/>
          <w:szCs w:val="28"/>
        </w:rPr>
      </w:pPr>
      <w:r>
        <w:rPr>
          <w:rFonts w:cstheme="minorHAnsi"/>
          <w:sz w:val="28"/>
          <w:szCs w:val="28"/>
        </w:rPr>
        <w:t>February 2022</w:t>
      </w:r>
      <w:r w:rsidR="00CD18C0">
        <w:rPr>
          <w:rFonts w:cstheme="minorHAnsi"/>
          <w:sz w:val="28"/>
          <w:szCs w:val="28"/>
        </w:rPr>
        <w:tab/>
      </w:r>
      <w:r w:rsidR="00CD18C0">
        <w:rPr>
          <w:rFonts w:cstheme="minorHAnsi"/>
          <w:sz w:val="28"/>
          <w:szCs w:val="28"/>
        </w:rPr>
        <w:tab/>
      </w:r>
    </w:p>
    <w:p w14:paraId="62A7FE3F" w14:textId="77777777" w:rsidR="00CD18C0" w:rsidRDefault="00CD18C0" w:rsidP="00CD18C0">
      <w:pPr>
        <w:tabs>
          <w:tab w:val="left" w:pos="1296"/>
        </w:tabs>
        <w:spacing w:after="60"/>
        <w:rPr>
          <w:rFonts w:cstheme="minorHAnsi"/>
          <w:b/>
          <w:color w:val="000000"/>
          <w:szCs w:val="22"/>
        </w:rPr>
      </w:pPr>
      <w:r>
        <w:rPr>
          <w:rFonts w:cstheme="minorHAnsi"/>
          <w:b/>
          <w:color w:val="000000"/>
          <w:szCs w:val="22"/>
        </w:rPr>
        <w:t>Prepared by:</w:t>
      </w:r>
    </w:p>
    <w:p w14:paraId="61D19153" w14:textId="77777777" w:rsidR="00CD18C0" w:rsidRDefault="00CD18C0" w:rsidP="00CD18C0">
      <w:pPr>
        <w:tabs>
          <w:tab w:val="left" w:pos="1296"/>
        </w:tabs>
        <w:spacing w:after="60"/>
        <w:rPr>
          <w:rFonts w:cstheme="minorHAnsi"/>
          <w:color w:val="000000"/>
          <w:szCs w:val="22"/>
        </w:rPr>
      </w:pPr>
      <w:r>
        <w:rPr>
          <w:rFonts w:cstheme="minorHAnsi"/>
          <w:color w:val="000000"/>
          <w:szCs w:val="22"/>
        </w:rPr>
        <w:t>John Babcock - Water &amp; Environmental Technologies</w:t>
      </w:r>
    </w:p>
    <w:p w14:paraId="0EED2949" w14:textId="19AC84AB" w:rsidR="00094526" w:rsidRDefault="00094526" w:rsidP="00CD18C0">
      <w:pPr>
        <w:tabs>
          <w:tab w:val="left" w:pos="1296"/>
        </w:tabs>
        <w:spacing w:after="60"/>
        <w:rPr>
          <w:rFonts w:cstheme="minorHAnsi"/>
          <w:color w:val="000000"/>
          <w:szCs w:val="22"/>
        </w:rPr>
      </w:pPr>
      <w:r>
        <w:rPr>
          <w:rFonts w:cstheme="minorHAnsi"/>
          <w:color w:val="000000"/>
          <w:szCs w:val="22"/>
        </w:rPr>
        <w:t>On behalf of Little Bitterroot Lake Association</w:t>
      </w:r>
    </w:p>
    <w:p w14:paraId="3FC10035" w14:textId="008F278E" w:rsidR="00CD18C0" w:rsidRDefault="00CD18C0" w:rsidP="00CD18C0">
      <w:pPr>
        <w:tabs>
          <w:tab w:val="left" w:pos="1296"/>
        </w:tabs>
        <w:spacing w:after="60"/>
        <w:rPr>
          <w:rFonts w:cstheme="minorHAnsi"/>
          <w:color w:val="000000"/>
          <w:szCs w:val="22"/>
        </w:rPr>
      </w:pPr>
      <w:r>
        <w:rPr>
          <w:rFonts w:cstheme="minorHAnsi"/>
          <w:color w:val="000000"/>
          <w:szCs w:val="22"/>
        </w:rPr>
        <w:t>480 East Park St.</w:t>
      </w:r>
    </w:p>
    <w:p w14:paraId="6A31D009" w14:textId="77777777" w:rsidR="00CD18C0" w:rsidRDefault="00CD18C0" w:rsidP="00CD18C0">
      <w:pPr>
        <w:tabs>
          <w:tab w:val="left" w:pos="1296"/>
        </w:tabs>
        <w:spacing w:after="60"/>
        <w:rPr>
          <w:rFonts w:cstheme="minorHAnsi"/>
          <w:color w:val="000000"/>
          <w:szCs w:val="22"/>
        </w:rPr>
      </w:pPr>
      <w:r>
        <w:rPr>
          <w:rFonts w:cstheme="minorHAnsi"/>
          <w:color w:val="000000"/>
          <w:szCs w:val="22"/>
        </w:rPr>
        <w:t>Butte, MT  59701</w:t>
      </w:r>
    </w:p>
    <w:p w14:paraId="1406E0DC" w14:textId="77777777" w:rsidR="00CD18C0" w:rsidRDefault="00CD18C0" w:rsidP="00CD18C0">
      <w:pPr>
        <w:tabs>
          <w:tab w:val="left" w:pos="1296"/>
        </w:tabs>
        <w:spacing w:after="60"/>
        <w:rPr>
          <w:rFonts w:cstheme="minorHAnsi"/>
          <w:color w:val="000000"/>
        </w:rPr>
      </w:pPr>
    </w:p>
    <w:p w14:paraId="66ED0780" w14:textId="77777777" w:rsidR="00CD18C0" w:rsidRDefault="00CD18C0" w:rsidP="00CD18C0">
      <w:pPr>
        <w:tabs>
          <w:tab w:val="left" w:pos="1296"/>
        </w:tabs>
        <w:spacing w:after="60"/>
        <w:rPr>
          <w:rFonts w:cstheme="minorHAnsi"/>
          <w:b/>
          <w:color w:val="000000"/>
          <w:szCs w:val="22"/>
        </w:rPr>
      </w:pPr>
      <w:r>
        <w:rPr>
          <w:rFonts w:cstheme="minorHAnsi"/>
          <w:b/>
          <w:color w:val="000000"/>
          <w:szCs w:val="22"/>
        </w:rPr>
        <w:t>Approved by:</w:t>
      </w:r>
    </w:p>
    <w:p w14:paraId="2E45A074" w14:textId="77777777" w:rsidR="00CD18C0" w:rsidRDefault="00CD18C0" w:rsidP="00CD18C0">
      <w:pPr>
        <w:tabs>
          <w:tab w:val="left" w:pos="1296"/>
        </w:tabs>
        <w:spacing w:after="60"/>
        <w:rPr>
          <w:rFonts w:cstheme="minorHAnsi"/>
          <w:color w:val="000000"/>
          <w:szCs w:val="22"/>
        </w:rPr>
      </w:pPr>
    </w:p>
    <w:p w14:paraId="6A354862" w14:textId="69C3D66C" w:rsidR="00094526" w:rsidRPr="00782B6E" w:rsidRDefault="002A3C60" w:rsidP="00094526">
      <w:pPr>
        <w:tabs>
          <w:tab w:val="left" w:pos="1296"/>
        </w:tabs>
        <w:spacing w:after="60"/>
        <w:rPr>
          <w:rFonts w:cstheme="minorHAnsi"/>
          <w:color w:val="000000"/>
          <w:szCs w:val="22"/>
        </w:rPr>
      </w:pPr>
      <w:r w:rsidRPr="002A3C60">
        <w:rPr>
          <w:rFonts w:cstheme="minorHAnsi"/>
          <w:color w:val="000000"/>
          <w:szCs w:val="22"/>
          <w:u w:val="single"/>
        </w:rPr>
        <w:t>/s/ Abbie Ebert</w:t>
      </w:r>
      <w:r w:rsidR="00094526" w:rsidRPr="00782B6E">
        <w:rPr>
          <w:rFonts w:cstheme="minorHAnsi"/>
          <w:color w:val="000000"/>
          <w:szCs w:val="22"/>
        </w:rPr>
        <w:t>___________________________________________</w:t>
      </w:r>
      <w:r w:rsidR="00094526" w:rsidRPr="00782B6E">
        <w:rPr>
          <w:rFonts w:cstheme="minorHAnsi"/>
          <w:color w:val="000000"/>
          <w:szCs w:val="22"/>
        </w:rPr>
        <w:tab/>
      </w:r>
      <w:r w:rsidR="00094526">
        <w:rPr>
          <w:rFonts w:cstheme="minorHAnsi"/>
          <w:color w:val="000000"/>
          <w:szCs w:val="22"/>
        </w:rPr>
        <w:tab/>
      </w:r>
      <w:r w:rsidRPr="002A3C60">
        <w:rPr>
          <w:rFonts w:cstheme="minorHAnsi"/>
          <w:color w:val="000000"/>
          <w:szCs w:val="22"/>
          <w:u w:val="single"/>
        </w:rPr>
        <w:t>7/21/2022</w:t>
      </w:r>
      <w:r w:rsidR="00094526" w:rsidRPr="00782B6E">
        <w:rPr>
          <w:rFonts w:cstheme="minorHAnsi"/>
          <w:color w:val="000000"/>
          <w:szCs w:val="22"/>
        </w:rPr>
        <w:t>___________</w:t>
      </w:r>
    </w:p>
    <w:p w14:paraId="1926CC1E" w14:textId="77777777" w:rsidR="00094526" w:rsidRPr="00782B6E" w:rsidRDefault="00094526" w:rsidP="00094526">
      <w:pPr>
        <w:tabs>
          <w:tab w:val="left" w:pos="1296"/>
        </w:tabs>
        <w:spacing w:after="60"/>
        <w:rPr>
          <w:rFonts w:cstheme="minorHAnsi"/>
          <w:color w:val="000000"/>
          <w:szCs w:val="22"/>
        </w:rPr>
      </w:pPr>
      <w:r>
        <w:rPr>
          <w:rFonts w:cstheme="minorHAnsi"/>
          <w:color w:val="000000"/>
          <w:szCs w:val="22"/>
        </w:rPr>
        <w:t>Abbie Ebert</w:t>
      </w:r>
      <w:r w:rsidRPr="00782B6E">
        <w:rPr>
          <w:rFonts w:cstheme="minorHAnsi"/>
          <w:color w:val="000000"/>
          <w:szCs w:val="22"/>
        </w:rPr>
        <w:t xml:space="preserve"> (Montana DEQ VM Lab Analysis Program Manager</w:t>
      </w:r>
      <w:r>
        <w:rPr>
          <w:rFonts w:cstheme="minorHAnsi"/>
          <w:color w:val="000000"/>
          <w:szCs w:val="22"/>
        </w:rPr>
        <w:t>)</w:t>
      </w:r>
      <w:r w:rsidRPr="00782B6E">
        <w:rPr>
          <w:rFonts w:cstheme="minorHAnsi"/>
          <w:color w:val="000000"/>
          <w:szCs w:val="22"/>
        </w:rPr>
        <w:tab/>
      </w:r>
      <w:r>
        <w:rPr>
          <w:rFonts w:cstheme="minorHAnsi"/>
          <w:color w:val="000000"/>
          <w:szCs w:val="22"/>
        </w:rPr>
        <w:tab/>
      </w:r>
      <w:r>
        <w:rPr>
          <w:rFonts w:cstheme="minorHAnsi"/>
          <w:color w:val="000000"/>
          <w:szCs w:val="22"/>
        </w:rPr>
        <w:tab/>
      </w:r>
      <w:r w:rsidRPr="00782B6E">
        <w:rPr>
          <w:rFonts w:cstheme="minorHAnsi"/>
          <w:color w:val="000000"/>
          <w:szCs w:val="22"/>
        </w:rPr>
        <w:t>Date</w:t>
      </w:r>
    </w:p>
    <w:p w14:paraId="00715FB0" w14:textId="77777777" w:rsidR="00094526" w:rsidRPr="00782B6E" w:rsidRDefault="00094526" w:rsidP="00094526">
      <w:pPr>
        <w:tabs>
          <w:tab w:val="left" w:pos="1296"/>
        </w:tabs>
        <w:spacing w:after="60"/>
        <w:rPr>
          <w:rFonts w:cstheme="minorHAnsi"/>
          <w:color w:val="000000"/>
          <w:szCs w:val="22"/>
        </w:rPr>
      </w:pPr>
    </w:p>
    <w:p w14:paraId="18708CAD" w14:textId="77777777" w:rsidR="00094526" w:rsidRPr="00782B6E" w:rsidRDefault="00094526" w:rsidP="00094526">
      <w:pPr>
        <w:tabs>
          <w:tab w:val="left" w:pos="1296"/>
        </w:tabs>
        <w:spacing w:after="60"/>
        <w:rPr>
          <w:rFonts w:cstheme="minorHAnsi"/>
          <w:color w:val="000000"/>
          <w:szCs w:val="22"/>
        </w:rPr>
      </w:pPr>
    </w:p>
    <w:p w14:paraId="30D182FF" w14:textId="48D954D7" w:rsidR="00094526" w:rsidRPr="00782B6E" w:rsidRDefault="001C7BF2" w:rsidP="00094526">
      <w:pPr>
        <w:tabs>
          <w:tab w:val="left" w:pos="1296"/>
        </w:tabs>
        <w:spacing w:after="60"/>
        <w:rPr>
          <w:rFonts w:cstheme="minorHAnsi"/>
          <w:color w:val="000000"/>
          <w:szCs w:val="22"/>
        </w:rPr>
      </w:pPr>
      <w:r w:rsidRPr="001C7BF2">
        <w:rPr>
          <w:rFonts w:cstheme="minorHAnsi"/>
          <w:color w:val="000000"/>
          <w:szCs w:val="22"/>
          <w:u w:val="single"/>
        </w:rPr>
        <w:t>/s/ Katie Makarowski__</w:t>
      </w:r>
      <w:r w:rsidR="00094526" w:rsidRPr="001C7BF2">
        <w:rPr>
          <w:rFonts w:cstheme="minorHAnsi"/>
          <w:color w:val="000000"/>
          <w:szCs w:val="22"/>
          <w:u w:val="single"/>
        </w:rPr>
        <w:t>____________________________________</w:t>
      </w:r>
      <w:r w:rsidR="00094526" w:rsidRPr="00782B6E">
        <w:rPr>
          <w:rFonts w:cstheme="minorHAnsi"/>
          <w:color w:val="000000"/>
          <w:szCs w:val="22"/>
        </w:rPr>
        <w:tab/>
      </w:r>
      <w:r w:rsidR="00094526">
        <w:rPr>
          <w:rFonts w:cstheme="minorHAnsi"/>
          <w:color w:val="000000"/>
          <w:szCs w:val="22"/>
        </w:rPr>
        <w:tab/>
      </w:r>
      <w:r w:rsidRPr="001C7BF2">
        <w:rPr>
          <w:rFonts w:cstheme="minorHAnsi"/>
          <w:color w:val="000000"/>
          <w:szCs w:val="22"/>
          <w:u w:val="single"/>
        </w:rPr>
        <w:t>7/21/2022</w:t>
      </w:r>
      <w:r w:rsidR="00094526" w:rsidRPr="00782B6E">
        <w:rPr>
          <w:rFonts w:cstheme="minorHAnsi"/>
          <w:color w:val="000000"/>
          <w:szCs w:val="22"/>
        </w:rPr>
        <w:t>___________</w:t>
      </w:r>
    </w:p>
    <w:p w14:paraId="709B2DD0" w14:textId="77777777" w:rsidR="00094526" w:rsidRPr="00782B6E" w:rsidRDefault="00094526" w:rsidP="00094526">
      <w:pPr>
        <w:tabs>
          <w:tab w:val="left" w:pos="1296"/>
        </w:tabs>
        <w:spacing w:after="60"/>
        <w:rPr>
          <w:rFonts w:cstheme="minorHAnsi"/>
          <w:color w:val="000000"/>
          <w:szCs w:val="22"/>
        </w:rPr>
      </w:pPr>
      <w:r>
        <w:rPr>
          <w:rFonts w:cstheme="minorHAnsi"/>
          <w:color w:val="000000"/>
          <w:szCs w:val="22"/>
        </w:rPr>
        <w:t xml:space="preserve">Katie Makarowski </w:t>
      </w:r>
      <w:r w:rsidRPr="00782B6E">
        <w:rPr>
          <w:rFonts w:cstheme="minorHAnsi"/>
          <w:color w:val="000000"/>
          <w:szCs w:val="22"/>
        </w:rPr>
        <w:t>(</w:t>
      </w:r>
      <w:r>
        <w:rPr>
          <w:rFonts w:cstheme="minorHAnsi"/>
          <w:color w:val="000000"/>
          <w:szCs w:val="22"/>
        </w:rPr>
        <w:t>Quality Assurance Officer</w:t>
      </w:r>
      <w:r w:rsidRPr="00782B6E">
        <w:rPr>
          <w:rFonts w:cstheme="minorHAnsi"/>
          <w:color w:val="000000"/>
          <w:szCs w:val="22"/>
        </w:rPr>
        <w:t>)</w:t>
      </w:r>
      <w:r w:rsidRPr="00782B6E">
        <w:rPr>
          <w:rFonts w:cstheme="minorHAnsi"/>
          <w:color w:val="000000"/>
          <w:szCs w:val="22"/>
        </w:rPr>
        <w:tab/>
      </w:r>
      <w:r w:rsidRPr="00782B6E">
        <w:rPr>
          <w:rFonts w:cstheme="minorHAnsi"/>
          <w:color w:val="000000"/>
          <w:szCs w:val="22"/>
        </w:rPr>
        <w:tab/>
      </w:r>
      <w:r>
        <w:rPr>
          <w:rFonts w:cstheme="minorHAnsi"/>
          <w:color w:val="000000"/>
          <w:szCs w:val="22"/>
        </w:rPr>
        <w:tab/>
      </w:r>
      <w:r>
        <w:rPr>
          <w:rFonts w:cstheme="minorHAnsi"/>
          <w:color w:val="000000"/>
          <w:szCs w:val="22"/>
        </w:rPr>
        <w:tab/>
      </w:r>
      <w:r>
        <w:rPr>
          <w:rFonts w:cstheme="minorHAnsi"/>
          <w:color w:val="000000"/>
          <w:szCs w:val="22"/>
        </w:rPr>
        <w:tab/>
      </w:r>
      <w:r w:rsidRPr="00782B6E">
        <w:rPr>
          <w:rFonts w:cstheme="minorHAnsi"/>
          <w:color w:val="000000"/>
          <w:szCs w:val="22"/>
        </w:rPr>
        <w:t>Date</w:t>
      </w:r>
    </w:p>
    <w:p w14:paraId="2BBCD34D" w14:textId="77777777" w:rsidR="00CD18C0" w:rsidRDefault="00CD18C0" w:rsidP="00CD18C0">
      <w:pPr>
        <w:tabs>
          <w:tab w:val="left" w:pos="1296"/>
        </w:tabs>
        <w:spacing w:after="60"/>
        <w:rPr>
          <w:rFonts w:cstheme="minorHAnsi"/>
          <w:color w:val="000000"/>
          <w:szCs w:val="22"/>
        </w:rPr>
      </w:pPr>
    </w:p>
    <w:p w14:paraId="335FA6CC" w14:textId="2FB70244" w:rsidR="002E1C65" w:rsidRPr="005604DF" w:rsidRDefault="002E1C65">
      <w:pPr>
        <w:rPr>
          <w:rFonts w:cstheme="minorHAnsi"/>
          <w:color w:val="000000"/>
        </w:rPr>
        <w:sectPr w:rsidR="002E1C65" w:rsidRPr="005604DF" w:rsidSect="00CD2F0E">
          <w:footerReference w:type="default" r:id="rId9"/>
          <w:footerReference w:type="first" r:id="rId10"/>
          <w:pgSz w:w="12240" w:h="15840"/>
          <w:pgMar w:top="1480" w:right="1300" w:bottom="1100" w:left="1340" w:header="720" w:footer="914" w:gutter="0"/>
          <w:cols w:space="720"/>
          <w:docGrid w:linePitch="272"/>
        </w:sectPr>
      </w:pPr>
    </w:p>
    <w:bookmarkStart w:id="0" w:name="_Toc109055199" w:displacedByCustomXml="next"/>
    <w:bookmarkStart w:id="1" w:name="_Toc67755723" w:displacedByCustomXml="next"/>
    <w:bookmarkStart w:id="2" w:name="_Toc1899706" w:displacedByCustomXml="next"/>
    <w:sdt>
      <w:sdtPr>
        <w:rPr>
          <w:rFonts w:ascii="Arial" w:hAnsi="Arial" w:cs="Times New Roman"/>
          <w:b w:val="0"/>
          <w:bCs w:val="0"/>
          <w:caps w:val="0"/>
          <w:kern w:val="0"/>
          <w:sz w:val="20"/>
          <w:szCs w:val="20"/>
        </w:rPr>
        <w:id w:val="1833562348"/>
        <w:docPartObj>
          <w:docPartGallery w:val="Table of Contents"/>
          <w:docPartUnique/>
        </w:docPartObj>
      </w:sdtPr>
      <w:sdtEndPr>
        <w:rPr>
          <w:rFonts w:asciiTheme="minorHAnsi" w:hAnsiTheme="minorHAnsi" w:cstheme="minorHAnsi"/>
          <w:b/>
          <w:bCs/>
          <w:caps/>
          <w:noProof/>
          <w:kern w:val="32"/>
          <w:sz w:val="36"/>
          <w:szCs w:val="32"/>
        </w:rPr>
      </w:sdtEndPr>
      <w:sdtContent>
        <w:p w14:paraId="1E703E5F" w14:textId="712CF760" w:rsidR="007C6D3F" w:rsidRPr="00D76268" w:rsidRDefault="007C6D3F" w:rsidP="00920FC9">
          <w:pPr>
            <w:pStyle w:val="Heading1"/>
          </w:pPr>
          <w:r w:rsidRPr="00D76268">
            <w:t>Table of Contents</w:t>
          </w:r>
          <w:bookmarkEnd w:id="0"/>
        </w:p>
        <w:p w14:paraId="600190E7" w14:textId="5C19CF1D" w:rsidR="0054109F" w:rsidRDefault="007C6D3F">
          <w:pPr>
            <w:pStyle w:val="TOC1"/>
            <w:rPr>
              <w:rFonts w:eastAsiaTheme="minorEastAsia" w:cstheme="minorBidi"/>
              <w:b w:val="0"/>
              <w:bCs w:val="0"/>
              <w:caps w:val="0"/>
              <w:sz w:val="22"/>
              <w:szCs w:val="22"/>
            </w:rPr>
          </w:pPr>
          <w:r w:rsidRPr="00782B6E">
            <w:rPr>
              <w:rFonts w:cstheme="minorHAnsi"/>
              <w:sz w:val="22"/>
              <w:szCs w:val="22"/>
            </w:rPr>
            <w:fldChar w:fldCharType="begin"/>
          </w:r>
          <w:r w:rsidRPr="00B06732">
            <w:rPr>
              <w:rFonts w:cstheme="minorHAnsi"/>
              <w:sz w:val="22"/>
              <w:szCs w:val="22"/>
            </w:rPr>
            <w:instrText xml:space="preserve"> TOC \o "1-3" \h \z \u </w:instrText>
          </w:r>
          <w:r w:rsidRPr="00782B6E">
            <w:rPr>
              <w:rFonts w:cstheme="minorHAnsi"/>
              <w:sz w:val="22"/>
              <w:szCs w:val="22"/>
            </w:rPr>
            <w:fldChar w:fldCharType="separate"/>
          </w:r>
          <w:hyperlink w:anchor="_Toc109055199" w:history="1">
            <w:r w:rsidR="0054109F" w:rsidRPr="00434087">
              <w:rPr>
                <w:rStyle w:val="Hyperlink"/>
              </w:rPr>
              <w:t>Table of Contents</w:t>
            </w:r>
            <w:r w:rsidR="0054109F">
              <w:rPr>
                <w:webHidden/>
              </w:rPr>
              <w:tab/>
            </w:r>
            <w:r w:rsidR="0054109F">
              <w:rPr>
                <w:webHidden/>
              </w:rPr>
              <w:fldChar w:fldCharType="begin"/>
            </w:r>
            <w:r w:rsidR="0054109F">
              <w:rPr>
                <w:webHidden/>
              </w:rPr>
              <w:instrText xml:space="preserve"> PAGEREF _Toc109055199 \h </w:instrText>
            </w:r>
            <w:r w:rsidR="0054109F">
              <w:rPr>
                <w:webHidden/>
              </w:rPr>
            </w:r>
            <w:r w:rsidR="0054109F">
              <w:rPr>
                <w:webHidden/>
              </w:rPr>
              <w:fldChar w:fldCharType="separate"/>
            </w:r>
            <w:r w:rsidR="0054109F">
              <w:rPr>
                <w:webHidden/>
              </w:rPr>
              <w:t>1</w:t>
            </w:r>
            <w:r w:rsidR="0054109F">
              <w:rPr>
                <w:webHidden/>
              </w:rPr>
              <w:fldChar w:fldCharType="end"/>
            </w:r>
          </w:hyperlink>
        </w:p>
        <w:p w14:paraId="3720CCB4" w14:textId="5C25CE7D" w:rsidR="0054109F" w:rsidRDefault="00000000">
          <w:pPr>
            <w:pStyle w:val="TOC1"/>
            <w:rPr>
              <w:rFonts w:eastAsiaTheme="minorEastAsia" w:cstheme="minorBidi"/>
              <w:b w:val="0"/>
              <w:bCs w:val="0"/>
              <w:caps w:val="0"/>
              <w:sz w:val="22"/>
              <w:szCs w:val="22"/>
            </w:rPr>
          </w:pPr>
          <w:hyperlink w:anchor="_Toc109055200" w:history="1">
            <w:r w:rsidR="0054109F" w:rsidRPr="00434087">
              <w:rPr>
                <w:rStyle w:val="Hyperlink"/>
              </w:rPr>
              <w:t>Revision History</w:t>
            </w:r>
            <w:r w:rsidR="0054109F">
              <w:rPr>
                <w:webHidden/>
              </w:rPr>
              <w:tab/>
            </w:r>
            <w:r w:rsidR="0054109F">
              <w:rPr>
                <w:webHidden/>
              </w:rPr>
              <w:fldChar w:fldCharType="begin"/>
            </w:r>
            <w:r w:rsidR="0054109F">
              <w:rPr>
                <w:webHidden/>
              </w:rPr>
              <w:instrText xml:space="preserve"> PAGEREF _Toc109055200 \h </w:instrText>
            </w:r>
            <w:r w:rsidR="0054109F">
              <w:rPr>
                <w:webHidden/>
              </w:rPr>
            </w:r>
            <w:r w:rsidR="0054109F">
              <w:rPr>
                <w:webHidden/>
              </w:rPr>
              <w:fldChar w:fldCharType="separate"/>
            </w:r>
            <w:r w:rsidR="0054109F">
              <w:rPr>
                <w:webHidden/>
              </w:rPr>
              <w:t>2</w:t>
            </w:r>
            <w:r w:rsidR="0054109F">
              <w:rPr>
                <w:webHidden/>
              </w:rPr>
              <w:fldChar w:fldCharType="end"/>
            </w:r>
          </w:hyperlink>
        </w:p>
        <w:p w14:paraId="0059E69E" w14:textId="209D3D3A" w:rsidR="0054109F" w:rsidRDefault="00000000">
          <w:pPr>
            <w:pStyle w:val="TOC1"/>
            <w:rPr>
              <w:rFonts w:eastAsiaTheme="minorEastAsia" w:cstheme="minorBidi"/>
              <w:b w:val="0"/>
              <w:bCs w:val="0"/>
              <w:caps w:val="0"/>
              <w:sz w:val="22"/>
              <w:szCs w:val="22"/>
            </w:rPr>
          </w:pPr>
          <w:hyperlink w:anchor="_Toc109055201" w:history="1">
            <w:r w:rsidR="0054109F" w:rsidRPr="00434087">
              <w:rPr>
                <w:rStyle w:val="Hyperlink"/>
              </w:rPr>
              <w:t>1.0 INTRODUCTION</w:t>
            </w:r>
            <w:r w:rsidR="0054109F">
              <w:rPr>
                <w:webHidden/>
              </w:rPr>
              <w:tab/>
            </w:r>
            <w:r w:rsidR="0054109F">
              <w:rPr>
                <w:webHidden/>
              </w:rPr>
              <w:fldChar w:fldCharType="begin"/>
            </w:r>
            <w:r w:rsidR="0054109F">
              <w:rPr>
                <w:webHidden/>
              </w:rPr>
              <w:instrText xml:space="preserve"> PAGEREF _Toc109055201 \h </w:instrText>
            </w:r>
            <w:r w:rsidR="0054109F">
              <w:rPr>
                <w:webHidden/>
              </w:rPr>
            </w:r>
            <w:r w:rsidR="0054109F">
              <w:rPr>
                <w:webHidden/>
              </w:rPr>
              <w:fldChar w:fldCharType="separate"/>
            </w:r>
            <w:r w:rsidR="0054109F">
              <w:rPr>
                <w:webHidden/>
              </w:rPr>
              <w:t>3</w:t>
            </w:r>
            <w:r w:rsidR="0054109F">
              <w:rPr>
                <w:webHidden/>
              </w:rPr>
              <w:fldChar w:fldCharType="end"/>
            </w:r>
          </w:hyperlink>
        </w:p>
        <w:p w14:paraId="13F0EAFB" w14:textId="581AA3FC" w:rsidR="0054109F" w:rsidRDefault="00000000">
          <w:pPr>
            <w:pStyle w:val="TOC2"/>
            <w:rPr>
              <w:rFonts w:eastAsiaTheme="minorEastAsia" w:cstheme="minorBidi"/>
              <w:b w:val="0"/>
              <w:bCs w:val="0"/>
              <w:szCs w:val="22"/>
            </w:rPr>
          </w:pPr>
          <w:hyperlink w:anchor="_Toc109055202" w:history="1">
            <w:r w:rsidR="0054109F" w:rsidRPr="00434087">
              <w:rPr>
                <w:rStyle w:val="Hyperlink"/>
              </w:rPr>
              <w:t>1.1 Project Overview</w:t>
            </w:r>
            <w:r w:rsidR="0054109F">
              <w:rPr>
                <w:webHidden/>
              </w:rPr>
              <w:tab/>
            </w:r>
            <w:r w:rsidR="0054109F">
              <w:rPr>
                <w:webHidden/>
              </w:rPr>
              <w:fldChar w:fldCharType="begin"/>
            </w:r>
            <w:r w:rsidR="0054109F">
              <w:rPr>
                <w:webHidden/>
              </w:rPr>
              <w:instrText xml:space="preserve"> PAGEREF _Toc109055202 \h </w:instrText>
            </w:r>
            <w:r w:rsidR="0054109F">
              <w:rPr>
                <w:webHidden/>
              </w:rPr>
            </w:r>
            <w:r w:rsidR="0054109F">
              <w:rPr>
                <w:webHidden/>
              </w:rPr>
              <w:fldChar w:fldCharType="separate"/>
            </w:r>
            <w:r w:rsidR="0054109F">
              <w:rPr>
                <w:webHidden/>
              </w:rPr>
              <w:t>3</w:t>
            </w:r>
            <w:r w:rsidR="0054109F">
              <w:rPr>
                <w:webHidden/>
              </w:rPr>
              <w:fldChar w:fldCharType="end"/>
            </w:r>
          </w:hyperlink>
        </w:p>
        <w:p w14:paraId="1C735FC7" w14:textId="11C380E6" w:rsidR="0054109F" w:rsidRDefault="00000000">
          <w:pPr>
            <w:pStyle w:val="TOC2"/>
            <w:rPr>
              <w:rFonts w:eastAsiaTheme="minorEastAsia" w:cstheme="minorBidi"/>
              <w:b w:val="0"/>
              <w:bCs w:val="0"/>
              <w:szCs w:val="22"/>
            </w:rPr>
          </w:pPr>
          <w:hyperlink w:anchor="_Toc109055203" w:history="1">
            <w:r w:rsidR="0054109F" w:rsidRPr="00434087">
              <w:rPr>
                <w:rStyle w:val="Hyperlink"/>
              </w:rPr>
              <w:t>1.2 Project Area Overview</w:t>
            </w:r>
            <w:r w:rsidR="0054109F">
              <w:rPr>
                <w:webHidden/>
              </w:rPr>
              <w:tab/>
            </w:r>
            <w:r w:rsidR="0054109F">
              <w:rPr>
                <w:webHidden/>
              </w:rPr>
              <w:fldChar w:fldCharType="begin"/>
            </w:r>
            <w:r w:rsidR="0054109F">
              <w:rPr>
                <w:webHidden/>
              </w:rPr>
              <w:instrText xml:space="preserve"> PAGEREF _Toc109055203 \h </w:instrText>
            </w:r>
            <w:r w:rsidR="0054109F">
              <w:rPr>
                <w:webHidden/>
              </w:rPr>
            </w:r>
            <w:r w:rsidR="0054109F">
              <w:rPr>
                <w:webHidden/>
              </w:rPr>
              <w:fldChar w:fldCharType="separate"/>
            </w:r>
            <w:r w:rsidR="0054109F">
              <w:rPr>
                <w:webHidden/>
              </w:rPr>
              <w:t>3</w:t>
            </w:r>
            <w:r w:rsidR="0054109F">
              <w:rPr>
                <w:webHidden/>
              </w:rPr>
              <w:fldChar w:fldCharType="end"/>
            </w:r>
          </w:hyperlink>
        </w:p>
        <w:p w14:paraId="112E06CE" w14:textId="07D84127" w:rsidR="0054109F" w:rsidRDefault="00000000">
          <w:pPr>
            <w:pStyle w:val="TOC2"/>
            <w:rPr>
              <w:rFonts w:eastAsiaTheme="minorEastAsia" w:cstheme="minorBidi"/>
              <w:b w:val="0"/>
              <w:bCs w:val="0"/>
              <w:szCs w:val="22"/>
            </w:rPr>
          </w:pPr>
          <w:hyperlink w:anchor="_Toc109055204" w:history="1">
            <w:r w:rsidR="0054109F" w:rsidRPr="00434087">
              <w:rPr>
                <w:rStyle w:val="Hyperlink"/>
              </w:rPr>
              <w:t>1.3 Project Team and Responsibilities</w:t>
            </w:r>
            <w:r w:rsidR="0054109F">
              <w:rPr>
                <w:webHidden/>
              </w:rPr>
              <w:tab/>
            </w:r>
            <w:r w:rsidR="0054109F">
              <w:rPr>
                <w:webHidden/>
              </w:rPr>
              <w:fldChar w:fldCharType="begin"/>
            </w:r>
            <w:r w:rsidR="0054109F">
              <w:rPr>
                <w:webHidden/>
              </w:rPr>
              <w:instrText xml:space="preserve"> PAGEREF _Toc109055204 \h </w:instrText>
            </w:r>
            <w:r w:rsidR="0054109F">
              <w:rPr>
                <w:webHidden/>
              </w:rPr>
            </w:r>
            <w:r w:rsidR="0054109F">
              <w:rPr>
                <w:webHidden/>
              </w:rPr>
              <w:fldChar w:fldCharType="separate"/>
            </w:r>
            <w:r w:rsidR="0054109F">
              <w:rPr>
                <w:webHidden/>
              </w:rPr>
              <w:t>5</w:t>
            </w:r>
            <w:r w:rsidR="0054109F">
              <w:rPr>
                <w:webHidden/>
              </w:rPr>
              <w:fldChar w:fldCharType="end"/>
            </w:r>
          </w:hyperlink>
        </w:p>
        <w:p w14:paraId="2DC7CAA7" w14:textId="13D7A8B6" w:rsidR="0054109F" w:rsidRDefault="00000000">
          <w:pPr>
            <w:pStyle w:val="TOC1"/>
            <w:rPr>
              <w:rFonts w:eastAsiaTheme="minorEastAsia" w:cstheme="minorBidi"/>
              <w:b w:val="0"/>
              <w:bCs w:val="0"/>
              <w:caps w:val="0"/>
              <w:sz w:val="22"/>
              <w:szCs w:val="22"/>
            </w:rPr>
          </w:pPr>
          <w:hyperlink w:anchor="_Toc109055205" w:history="1">
            <w:r w:rsidR="0054109F" w:rsidRPr="00434087">
              <w:rPr>
                <w:rStyle w:val="Hyperlink"/>
              </w:rPr>
              <w:t>2.0 Objectives and Sampling Design</w:t>
            </w:r>
            <w:r w:rsidR="0054109F">
              <w:rPr>
                <w:webHidden/>
              </w:rPr>
              <w:tab/>
            </w:r>
            <w:r w:rsidR="0054109F">
              <w:rPr>
                <w:webHidden/>
              </w:rPr>
              <w:fldChar w:fldCharType="begin"/>
            </w:r>
            <w:r w:rsidR="0054109F">
              <w:rPr>
                <w:webHidden/>
              </w:rPr>
              <w:instrText xml:space="preserve"> PAGEREF _Toc109055205 \h </w:instrText>
            </w:r>
            <w:r w:rsidR="0054109F">
              <w:rPr>
                <w:webHidden/>
              </w:rPr>
            </w:r>
            <w:r w:rsidR="0054109F">
              <w:rPr>
                <w:webHidden/>
              </w:rPr>
              <w:fldChar w:fldCharType="separate"/>
            </w:r>
            <w:r w:rsidR="0054109F">
              <w:rPr>
                <w:webHidden/>
              </w:rPr>
              <w:t>5</w:t>
            </w:r>
            <w:r w:rsidR="0054109F">
              <w:rPr>
                <w:webHidden/>
              </w:rPr>
              <w:fldChar w:fldCharType="end"/>
            </w:r>
          </w:hyperlink>
        </w:p>
        <w:p w14:paraId="64B63CE3" w14:textId="4A822184" w:rsidR="0054109F" w:rsidRDefault="00000000">
          <w:pPr>
            <w:pStyle w:val="TOC2"/>
            <w:rPr>
              <w:rFonts w:eastAsiaTheme="minorEastAsia" w:cstheme="minorBidi"/>
              <w:b w:val="0"/>
              <w:bCs w:val="0"/>
              <w:szCs w:val="22"/>
            </w:rPr>
          </w:pPr>
          <w:hyperlink w:anchor="_Toc109055206" w:history="1">
            <w:r w:rsidR="0054109F" w:rsidRPr="00434087">
              <w:rPr>
                <w:rStyle w:val="Hyperlink"/>
              </w:rPr>
              <w:t>2.1 Project Goals and Objectives</w:t>
            </w:r>
            <w:r w:rsidR="0054109F">
              <w:rPr>
                <w:webHidden/>
              </w:rPr>
              <w:tab/>
            </w:r>
            <w:r w:rsidR="0054109F">
              <w:rPr>
                <w:webHidden/>
              </w:rPr>
              <w:fldChar w:fldCharType="begin"/>
            </w:r>
            <w:r w:rsidR="0054109F">
              <w:rPr>
                <w:webHidden/>
              </w:rPr>
              <w:instrText xml:space="preserve"> PAGEREF _Toc109055206 \h </w:instrText>
            </w:r>
            <w:r w:rsidR="0054109F">
              <w:rPr>
                <w:webHidden/>
              </w:rPr>
            </w:r>
            <w:r w:rsidR="0054109F">
              <w:rPr>
                <w:webHidden/>
              </w:rPr>
              <w:fldChar w:fldCharType="separate"/>
            </w:r>
            <w:r w:rsidR="0054109F">
              <w:rPr>
                <w:webHidden/>
              </w:rPr>
              <w:t>5</w:t>
            </w:r>
            <w:r w:rsidR="0054109F">
              <w:rPr>
                <w:webHidden/>
              </w:rPr>
              <w:fldChar w:fldCharType="end"/>
            </w:r>
          </w:hyperlink>
        </w:p>
        <w:p w14:paraId="3E4AB099" w14:textId="6AD2BF9E" w:rsidR="0054109F" w:rsidRDefault="00000000">
          <w:pPr>
            <w:pStyle w:val="TOC2"/>
            <w:rPr>
              <w:rFonts w:eastAsiaTheme="minorEastAsia" w:cstheme="minorBidi"/>
              <w:b w:val="0"/>
              <w:bCs w:val="0"/>
              <w:szCs w:val="22"/>
            </w:rPr>
          </w:pPr>
          <w:hyperlink w:anchor="_Toc109055207" w:history="1">
            <w:r w:rsidR="0054109F" w:rsidRPr="00434087">
              <w:rPr>
                <w:rStyle w:val="Hyperlink"/>
              </w:rPr>
              <w:t>2.2 Monitoring Locations</w:t>
            </w:r>
            <w:r w:rsidR="0054109F">
              <w:rPr>
                <w:webHidden/>
              </w:rPr>
              <w:tab/>
            </w:r>
            <w:r w:rsidR="0054109F">
              <w:rPr>
                <w:webHidden/>
              </w:rPr>
              <w:fldChar w:fldCharType="begin"/>
            </w:r>
            <w:r w:rsidR="0054109F">
              <w:rPr>
                <w:webHidden/>
              </w:rPr>
              <w:instrText xml:space="preserve"> PAGEREF _Toc109055207 \h </w:instrText>
            </w:r>
            <w:r w:rsidR="0054109F">
              <w:rPr>
                <w:webHidden/>
              </w:rPr>
            </w:r>
            <w:r w:rsidR="0054109F">
              <w:rPr>
                <w:webHidden/>
              </w:rPr>
              <w:fldChar w:fldCharType="separate"/>
            </w:r>
            <w:r w:rsidR="0054109F">
              <w:rPr>
                <w:webHidden/>
              </w:rPr>
              <w:t>6</w:t>
            </w:r>
            <w:r w:rsidR="0054109F">
              <w:rPr>
                <w:webHidden/>
              </w:rPr>
              <w:fldChar w:fldCharType="end"/>
            </w:r>
          </w:hyperlink>
        </w:p>
        <w:p w14:paraId="5265B925" w14:textId="08564989" w:rsidR="0054109F" w:rsidRDefault="00000000">
          <w:pPr>
            <w:pStyle w:val="TOC2"/>
            <w:rPr>
              <w:rFonts w:eastAsiaTheme="minorEastAsia" w:cstheme="minorBidi"/>
              <w:b w:val="0"/>
              <w:bCs w:val="0"/>
              <w:szCs w:val="22"/>
            </w:rPr>
          </w:pPr>
          <w:hyperlink w:anchor="_Toc109055208" w:history="1">
            <w:r w:rsidR="0054109F" w:rsidRPr="00434087">
              <w:rPr>
                <w:rStyle w:val="Hyperlink"/>
              </w:rPr>
              <w:t>2.3 Monitoring Schedule</w:t>
            </w:r>
            <w:r w:rsidR="0054109F">
              <w:rPr>
                <w:webHidden/>
              </w:rPr>
              <w:tab/>
            </w:r>
            <w:r w:rsidR="0054109F">
              <w:rPr>
                <w:webHidden/>
              </w:rPr>
              <w:fldChar w:fldCharType="begin"/>
            </w:r>
            <w:r w:rsidR="0054109F">
              <w:rPr>
                <w:webHidden/>
              </w:rPr>
              <w:instrText xml:space="preserve"> PAGEREF _Toc109055208 \h </w:instrText>
            </w:r>
            <w:r w:rsidR="0054109F">
              <w:rPr>
                <w:webHidden/>
              </w:rPr>
            </w:r>
            <w:r w:rsidR="0054109F">
              <w:rPr>
                <w:webHidden/>
              </w:rPr>
              <w:fldChar w:fldCharType="separate"/>
            </w:r>
            <w:r w:rsidR="0054109F">
              <w:rPr>
                <w:webHidden/>
              </w:rPr>
              <w:t>7</w:t>
            </w:r>
            <w:r w:rsidR="0054109F">
              <w:rPr>
                <w:webHidden/>
              </w:rPr>
              <w:fldChar w:fldCharType="end"/>
            </w:r>
          </w:hyperlink>
        </w:p>
        <w:p w14:paraId="237C98EF" w14:textId="05A23E10" w:rsidR="0054109F" w:rsidRDefault="00000000">
          <w:pPr>
            <w:pStyle w:val="TOC2"/>
            <w:rPr>
              <w:rFonts w:eastAsiaTheme="minorEastAsia" w:cstheme="minorBidi"/>
              <w:b w:val="0"/>
              <w:bCs w:val="0"/>
              <w:szCs w:val="22"/>
            </w:rPr>
          </w:pPr>
          <w:hyperlink w:anchor="_Toc109055209" w:history="1">
            <w:r w:rsidR="0054109F" w:rsidRPr="00434087">
              <w:rPr>
                <w:rStyle w:val="Hyperlink"/>
              </w:rPr>
              <w:t>2.4 Water Quality Parameters</w:t>
            </w:r>
            <w:r w:rsidR="0054109F">
              <w:rPr>
                <w:webHidden/>
              </w:rPr>
              <w:tab/>
            </w:r>
            <w:r w:rsidR="0054109F">
              <w:rPr>
                <w:webHidden/>
              </w:rPr>
              <w:fldChar w:fldCharType="begin"/>
            </w:r>
            <w:r w:rsidR="0054109F">
              <w:rPr>
                <w:webHidden/>
              </w:rPr>
              <w:instrText xml:space="preserve"> PAGEREF _Toc109055209 \h </w:instrText>
            </w:r>
            <w:r w:rsidR="0054109F">
              <w:rPr>
                <w:webHidden/>
              </w:rPr>
            </w:r>
            <w:r w:rsidR="0054109F">
              <w:rPr>
                <w:webHidden/>
              </w:rPr>
              <w:fldChar w:fldCharType="separate"/>
            </w:r>
            <w:r w:rsidR="0054109F">
              <w:rPr>
                <w:webHidden/>
              </w:rPr>
              <w:t>8</w:t>
            </w:r>
            <w:r w:rsidR="0054109F">
              <w:rPr>
                <w:webHidden/>
              </w:rPr>
              <w:fldChar w:fldCharType="end"/>
            </w:r>
          </w:hyperlink>
        </w:p>
        <w:p w14:paraId="7E03D027" w14:textId="01901029" w:rsidR="0054109F" w:rsidRDefault="00000000">
          <w:pPr>
            <w:pStyle w:val="TOC1"/>
            <w:rPr>
              <w:rFonts w:eastAsiaTheme="minorEastAsia" w:cstheme="minorBidi"/>
              <w:b w:val="0"/>
              <w:bCs w:val="0"/>
              <w:caps w:val="0"/>
              <w:sz w:val="22"/>
              <w:szCs w:val="22"/>
            </w:rPr>
          </w:pPr>
          <w:hyperlink w:anchor="_Toc109055210" w:history="1">
            <w:r w:rsidR="0054109F" w:rsidRPr="00434087">
              <w:rPr>
                <w:rStyle w:val="Hyperlink"/>
              </w:rPr>
              <w:t>3.0 Field Procedures</w:t>
            </w:r>
            <w:r w:rsidR="0054109F">
              <w:rPr>
                <w:webHidden/>
              </w:rPr>
              <w:tab/>
            </w:r>
            <w:r w:rsidR="0054109F">
              <w:rPr>
                <w:webHidden/>
              </w:rPr>
              <w:fldChar w:fldCharType="begin"/>
            </w:r>
            <w:r w:rsidR="0054109F">
              <w:rPr>
                <w:webHidden/>
              </w:rPr>
              <w:instrText xml:space="preserve"> PAGEREF _Toc109055210 \h </w:instrText>
            </w:r>
            <w:r w:rsidR="0054109F">
              <w:rPr>
                <w:webHidden/>
              </w:rPr>
            </w:r>
            <w:r w:rsidR="0054109F">
              <w:rPr>
                <w:webHidden/>
              </w:rPr>
              <w:fldChar w:fldCharType="separate"/>
            </w:r>
            <w:r w:rsidR="0054109F">
              <w:rPr>
                <w:webHidden/>
              </w:rPr>
              <w:t>8</w:t>
            </w:r>
            <w:r w:rsidR="0054109F">
              <w:rPr>
                <w:webHidden/>
              </w:rPr>
              <w:fldChar w:fldCharType="end"/>
            </w:r>
          </w:hyperlink>
        </w:p>
        <w:p w14:paraId="7355655F" w14:textId="480CCE5F" w:rsidR="0054109F" w:rsidRDefault="00000000">
          <w:pPr>
            <w:pStyle w:val="TOC2"/>
            <w:rPr>
              <w:rFonts w:eastAsiaTheme="minorEastAsia" w:cstheme="minorBidi"/>
              <w:b w:val="0"/>
              <w:bCs w:val="0"/>
              <w:szCs w:val="22"/>
            </w:rPr>
          </w:pPr>
          <w:hyperlink w:anchor="_Toc109055211" w:history="1">
            <w:r w:rsidR="0054109F" w:rsidRPr="00434087">
              <w:rPr>
                <w:rStyle w:val="Hyperlink"/>
              </w:rPr>
              <w:t>3.1 Order of Operations</w:t>
            </w:r>
            <w:r w:rsidR="0054109F">
              <w:rPr>
                <w:webHidden/>
              </w:rPr>
              <w:tab/>
            </w:r>
            <w:r w:rsidR="0054109F">
              <w:rPr>
                <w:webHidden/>
              </w:rPr>
              <w:fldChar w:fldCharType="begin"/>
            </w:r>
            <w:r w:rsidR="0054109F">
              <w:rPr>
                <w:webHidden/>
              </w:rPr>
              <w:instrText xml:space="preserve"> PAGEREF _Toc109055211 \h </w:instrText>
            </w:r>
            <w:r w:rsidR="0054109F">
              <w:rPr>
                <w:webHidden/>
              </w:rPr>
            </w:r>
            <w:r w:rsidR="0054109F">
              <w:rPr>
                <w:webHidden/>
              </w:rPr>
              <w:fldChar w:fldCharType="separate"/>
            </w:r>
            <w:r w:rsidR="0054109F">
              <w:rPr>
                <w:webHidden/>
              </w:rPr>
              <w:t>8</w:t>
            </w:r>
            <w:r w:rsidR="0054109F">
              <w:rPr>
                <w:webHidden/>
              </w:rPr>
              <w:fldChar w:fldCharType="end"/>
            </w:r>
          </w:hyperlink>
        </w:p>
        <w:p w14:paraId="2E1EDB6F" w14:textId="4955D7A6" w:rsidR="0054109F" w:rsidRDefault="00000000">
          <w:pPr>
            <w:pStyle w:val="TOC2"/>
            <w:rPr>
              <w:rFonts w:eastAsiaTheme="minorEastAsia" w:cstheme="minorBidi"/>
              <w:b w:val="0"/>
              <w:bCs w:val="0"/>
              <w:szCs w:val="22"/>
            </w:rPr>
          </w:pPr>
          <w:hyperlink w:anchor="_Toc109055212" w:history="1">
            <w:r w:rsidR="0054109F" w:rsidRPr="00434087">
              <w:rPr>
                <w:rStyle w:val="Hyperlink"/>
              </w:rPr>
              <w:t>3.2 Field Forms</w:t>
            </w:r>
            <w:r w:rsidR="0054109F">
              <w:rPr>
                <w:webHidden/>
              </w:rPr>
              <w:tab/>
            </w:r>
            <w:r w:rsidR="0054109F">
              <w:rPr>
                <w:webHidden/>
              </w:rPr>
              <w:fldChar w:fldCharType="begin"/>
            </w:r>
            <w:r w:rsidR="0054109F">
              <w:rPr>
                <w:webHidden/>
              </w:rPr>
              <w:instrText xml:space="preserve"> PAGEREF _Toc109055212 \h </w:instrText>
            </w:r>
            <w:r w:rsidR="0054109F">
              <w:rPr>
                <w:webHidden/>
              </w:rPr>
            </w:r>
            <w:r w:rsidR="0054109F">
              <w:rPr>
                <w:webHidden/>
              </w:rPr>
              <w:fldChar w:fldCharType="separate"/>
            </w:r>
            <w:r w:rsidR="0054109F">
              <w:rPr>
                <w:webHidden/>
              </w:rPr>
              <w:t>9</w:t>
            </w:r>
            <w:r w:rsidR="0054109F">
              <w:rPr>
                <w:webHidden/>
              </w:rPr>
              <w:fldChar w:fldCharType="end"/>
            </w:r>
          </w:hyperlink>
        </w:p>
        <w:p w14:paraId="70D4F6C8" w14:textId="3A65E98B" w:rsidR="0054109F" w:rsidRDefault="00000000">
          <w:pPr>
            <w:pStyle w:val="TOC2"/>
            <w:rPr>
              <w:rFonts w:eastAsiaTheme="minorEastAsia" w:cstheme="minorBidi"/>
              <w:b w:val="0"/>
              <w:bCs w:val="0"/>
              <w:szCs w:val="22"/>
            </w:rPr>
          </w:pPr>
          <w:hyperlink w:anchor="_Toc109055213" w:history="1">
            <w:r w:rsidR="0054109F" w:rsidRPr="00434087">
              <w:rPr>
                <w:rStyle w:val="Hyperlink"/>
              </w:rPr>
              <w:t>3.3 Data Collection Standard Operating Procedures</w:t>
            </w:r>
            <w:r w:rsidR="0054109F">
              <w:rPr>
                <w:webHidden/>
              </w:rPr>
              <w:tab/>
            </w:r>
            <w:r w:rsidR="0054109F">
              <w:rPr>
                <w:webHidden/>
              </w:rPr>
              <w:fldChar w:fldCharType="begin"/>
            </w:r>
            <w:r w:rsidR="0054109F">
              <w:rPr>
                <w:webHidden/>
              </w:rPr>
              <w:instrText xml:space="preserve"> PAGEREF _Toc109055213 \h </w:instrText>
            </w:r>
            <w:r w:rsidR="0054109F">
              <w:rPr>
                <w:webHidden/>
              </w:rPr>
            </w:r>
            <w:r w:rsidR="0054109F">
              <w:rPr>
                <w:webHidden/>
              </w:rPr>
              <w:fldChar w:fldCharType="separate"/>
            </w:r>
            <w:r w:rsidR="0054109F">
              <w:rPr>
                <w:webHidden/>
              </w:rPr>
              <w:t>9</w:t>
            </w:r>
            <w:r w:rsidR="0054109F">
              <w:rPr>
                <w:webHidden/>
              </w:rPr>
              <w:fldChar w:fldCharType="end"/>
            </w:r>
          </w:hyperlink>
        </w:p>
        <w:p w14:paraId="350C3F1B" w14:textId="4342C1B2" w:rsidR="0054109F" w:rsidRDefault="00000000">
          <w:pPr>
            <w:pStyle w:val="TOC3"/>
            <w:rPr>
              <w:rFonts w:eastAsiaTheme="minorEastAsia" w:cstheme="minorBidi"/>
              <w:szCs w:val="22"/>
            </w:rPr>
          </w:pPr>
          <w:hyperlink w:anchor="_Toc109055214" w:history="1">
            <w:r w:rsidR="0054109F" w:rsidRPr="00434087">
              <w:rPr>
                <w:rStyle w:val="Hyperlink"/>
              </w:rPr>
              <w:t>Field Parameters</w:t>
            </w:r>
            <w:r w:rsidR="0054109F">
              <w:rPr>
                <w:webHidden/>
              </w:rPr>
              <w:tab/>
            </w:r>
            <w:r w:rsidR="0054109F">
              <w:rPr>
                <w:webHidden/>
              </w:rPr>
              <w:fldChar w:fldCharType="begin"/>
            </w:r>
            <w:r w:rsidR="0054109F">
              <w:rPr>
                <w:webHidden/>
              </w:rPr>
              <w:instrText xml:space="preserve"> PAGEREF _Toc109055214 \h </w:instrText>
            </w:r>
            <w:r w:rsidR="0054109F">
              <w:rPr>
                <w:webHidden/>
              </w:rPr>
            </w:r>
            <w:r w:rsidR="0054109F">
              <w:rPr>
                <w:webHidden/>
              </w:rPr>
              <w:fldChar w:fldCharType="separate"/>
            </w:r>
            <w:r w:rsidR="0054109F">
              <w:rPr>
                <w:webHidden/>
              </w:rPr>
              <w:t>9</w:t>
            </w:r>
            <w:r w:rsidR="0054109F">
              <w:rPr>
                <w:webHidden/>
              </w:rPr>
              <w:fldChar w:fldCharType="end"/>
            </w:r>
          </w:hyperlink>
        </w:p>
        <w:p w14:paraId="31DDD0BE" w14:textId="21E65DBC" w:rsidR="0054109F" w:rsidRDefault="00000000">
          <w:pPr>
            <w:pStyle w:val="TOC3"/>
            <w:rPr>
              <w:rFonts w:eastAsiaTheme="minorEastAsia" w:cstheme="minorBidi"/>
              <w:szCs w:val="22"/>
            </w:rPr>
          </w:pPr>
          <w:hyperlink w:anchor="_Toc109055215" w:history="1">
            <w:r w:rsidR="0054109F" w:rsidRPr="00434087">
              <w:rPr>
                <w:rStyle w:val="Hyperlink"/>
              </w:rPr>
              <w:t>Water Chemistry Grab Samples</w:t>
            </w:r>
            <w:r w:rsidR="0054109F">
              <w:rPr>
                <w:webHidden/>
              </w:rPr>
              <w:tab/>
            </w:r>
            <w:r w:rsidR="0054109F">
              <w:rPr>
                <w:webHidden/>
              </w:rPr>
              <w:fldChar w:fldCharType="begin"/>
            </w:r>
            <w:r w:rsidR="0054109F">
              <w:rPr>
                <w:webHidden/>
              </w:rPr>
              <w:instrText xml:space="preserve"> PAGEREF _Toc109055215 \h </w:instrText>
            </w:r>
            <w:r w:rsidR="0054109F">
              <w:rPr>
                <w:webHidden/>
              </w:rPr>
            </w:r>
            <w:r w:rsidR="0054109F">
              <w:rPr>
                <w:webHidden/>
              </w:rPr>
              <w:fldChar w:fldCharType="separate"/>
            </w:r>
            <w:r w:rsidR="0054109F">
              <w:rPr>
                <w:webHidden/>
              </w:rPr>
              <w:t>9</w:t>
            </w:r>
            <w:r w:rsidR="0054109F">
              <w:rPr>
                <w:webHidden/>
              </w:rPr>
              <w:fldChar w:fldCharType="end"/>
            </w:r>
          </w:hyperlink>
        </w:p>
        <w:p w14:paraId="259DCC03" w14:textId="2798D884" w:rsidR="0054109F" w:rsidRDefault="00000000">
          <w:pPr>
            <w:pStyle w:val="TOC3"/>
            <w:rPr>
              <w:rFonts w:eastAsiaTheme="minorEastAsia" w:cstheme="minorBidi"/>
              <w:szCs w:val="22"/>
            </w:rPr>
          </w:pPr>
          <w:hyperlink w:anchor="_Toc109055216" w:history="1">
            <w:r w:rsidR="0054109F" w:rsidRPr="00434087">
              <w:rPr>
                <w:rStyle w:val="Hyperlink"/>
              </w:rPr>
              <w:t>Chlorophyll-</w:t>
            </w:r>
            <w:r w:rsidR="0054109F" w:rsidRPr="00434087">
              <w:rPr>
                <w:rStyle w:val="Hyperlink"/>
                <w:i/>
              </w:rPr>
              <w:t>a</w:t>
            </w:r>
            <w:r w:rsidR="0054109F" w:rsidRPr="00434087">
              <w:rPr>
                <w:rStyle w:val="Hyperlink"/>
              </w:rPr>
              <w:t xml:space="preserve"> in the Water Column</w:t>
            </w:r>
            <w:r w:rsidR="0054109F">
              <w:rPr>
                <w:webHidden/>
              </w:rPr>
              <w:tab/>
            </w:r>
            <w:r w:rsidR="0054109F">
              <w:rPr>
                <w:webHidden/>
              </w:rPr>
              <w:fldChar w:fldCharType="begin"/>
            </w:r>
            <w:r w:rsidR="0054109F">
              <w:rPr>
                <w:webHidden/>
              </w:rPr>
              <w:instrText xml:space="preserve"> PAGEREF _Toc109055216 \h </w:instrText>
            </w:r>
            <w:r w:rsidR="0054109F">
              <w:rPr>
                <w:webHidden/>
              </w:rPr>
            </w:r>
            <w:r w:rsidR="0054109F">
              <w:rPr>
                <w:webHidden/>
              </w:rPr>
              <w:fldChar w:fldCharType="separate"/>
            </w:r>
            <w:r w:rsidR="0054109F">
              <w:rPr>
                <w:webHidden/>
              </w:rPr>
              <w:t>9</w:t>
            </w:r>
            <w:r w:rsidR="0054109F">
              <w:rPr>
                <w:webHidden/>
              </w:rPr>
              <w:fldChar w:fldCharType="end"/>
            </w:r>
          </w:hyperlink>
        </w:p>
        <w:p w14:paraId="31A85167" w14:textId="24F74DC0" w:rsidR="0054109F" w:rsidRDefault="00000000">
          <w:pPr>
            <w:pStyle w:val="TOC3"/>
            <w:rPr>
              <w:rFonts w:eastAsiaTheme="minorEastAsia" w:cstheme="minorBidi"/>
              <w:szCs w:val="22"/>
            </w:rPr>
          </w:pPr>
          <w:hyperlink w:anchor="_Toc109055217" w:history="1">
            <w:r w:rsidR="0054109F" w:rsidRPr="00434087">
              <w:rPr>
                <w:rStyle w:val="Hyperlink"/>
              </w:rPr>
              <w:t>Chlorophyll-</w:t>
            </w:r>
            <w:r w:rsidR="0054109F" w:rsidRPr="00434087">
              <w:rPr>
                <w:rStyle w:val="Hyperlink"/>
                <w:i/>
              </w:rPr>
              <w:t>a</w:t>
            </w:r>
            <w:r w:rsidR="0054109F" w:rsidRPr="00434087">
              <w:rPr>
                <w:rStyle w:val="Hyperlink"/>
              </w:rPr>
              <w:t xml:space="preserve"> from Benthic Substrate</w:t>
            </w:r>
            <w:r w:rsidR="0054109F">
              <w:rPr>
                <w:webHidden/>
              </w:rPr>
              <w:tab/>
            </w:r>
            <w:r w:rsidR="0054109F">
              <w:rPr>
                <w:webHidden/>
              </w:rPr>
              <w:fldChar w:fldCharType="begin"/>
            </w:r>
            <w:r w:rsidR="0054109F">
              <w:rPr>
                <w:webHidden/>
              </w:rPr>
              <w:instrText xml:space="preserve"> PAGEREF _Toc109055217 \h </w:instrText>
            </w:r>
            <w:r w:rsidR="0054109F">
              <w:rPr>
                <w:webHidden/>
              </w:rPr>
            </w:r>
            <w:r w:rsidR="0054109F">
              <w:rPr>
                <w:webHidden/>
              </w:rPr>
              <w:fldChar w:fldCharType="separate"/>
            </w:r>
            <w:r w:rsidR="0054109F">
              <w:rPr>
                <w:webHidden/>
              </w:rPr>
              <w:t>10</w:t>
            </w:r>
            <w:r w:rsidR="0054109F">
              <w:rPr>
                <w:webHidden/>
              </w:rPr>
              <w:fldChar w:fldCharType="end"/>
            </w:r>
          </w:hyperlink>
        </w:p>
        <w:p w14:paraId="2147ACBE" w14:textId="7A4DD356" w:rsidR="0054109F" w:rsidRDefault="00000000">
          <w:pPr>
            <w:pStyle w:val="TOC3"/>
            <w:rPr>
              <w:rFonts w:eastAsiaTheme="minorEastAsia" w:cstheme="minorBidi"/>
              <w:szCs w:val="22"/>
            </w:rPr>
          </w:pPr>
          <w:hyperlink w:anchor="_Toc109055218" w:history="1">
            <w:r w:rsidR="0054109F" w:rsidRPr="00434087">
              <w:rPr>
                <w:rStyle w:val="Hyperlink"/>
              </w:rPr>
              <w:t>Sample Handling</w:t>
            </w:r>
            <w:r w:rsidR="0054109F">
              <w:rPr>
                <w:webHidden/>
              </w:rPr>
              <w:tab/>
            </w:r>
            <w:r w:rsidR="0054109F">
              <w:rPr>
                <w:webHidden/>
              </w:rPr>
              <w:fldChar w:fldCharType="begin"/>
            </w:r>
            <w:r w:rsidR="0054109F">
              <w:rPr>
                <w:webHidden/>
              </w:rPr>
              <w:instrText xml:space="preserve"> PAGEREF _Toc109055218 \h </w:instrText>
            </w:r>
            <w:r w:rsidR="0054109F">
              <w:rPr>
                <w:webHidden/>
              </w:rPr>
            </w:r>
            <w:r w:rsidR="0054109F">
              <w:rPr>
                <w:webHidden/>
              </w:rPr>
              <w:fldChar w:fldCharType="separate"/>
            </w:r>
            <w:r w:rsidR="0054109F">
              <w:rPr>
                <w:webHidden/>
              </w:rPr>
              <w:t>10</w:t>
            </w:r>
            <w:r w:rsidR="0054109F">
              <w:rPr>
                <w:webHidden/>
              </w:rPr>
              <w:fldChar w:fldCharType="end"/>
            </w:r>
          </w:hyperlink>
        </w:p>
        <w:p w14:paraId="55BAC412" w14:textId="33CF2D7D" w:rsidR="0054109F" w:rsidRDefault="00000000">
          <w:pPr>
            <w:pStyle w:val="TOC3"/>
            <w:rPr>
              <w:rFonts w:eastAsiaTheme="minorEastAsia" w:cstheme="minorBidi"/>
              <w:szCs w:val="22"/>
            </w:rPr>
          </w:pPr>
          <w:hyperlink w:anchor="_Toc109055219" w:history="1">
            <w:r w:rsidR="0054109F" w:rsidRPr="00434087">
              <w:rPr>
                <w:rStyle w:val="Hyperlink"/>
              </w:rPr>
              <w:t>Observations and Additional Data</w:t>
            </w:r>
            <w:r w:rsidR="0054109F">
              <w:rPr>
                <w:webHidden/>
              </w:rPr>
              <w:tab/>
            </w:r>
            <w:r w:rsidR="0054109F">
              <w:rPr>
                <w:webHidden/>
              </w:rPr>
              <w:fldChar w:fldCharType="begin"/>
            </w:r>
            <w:r w:rsidR="0054109F">
              <w:rPr>
                <w:webHidden/>
              </w:rPr>
              <w:instrText xml:space="preserve"> PAGEREF _Toc109055219 \h </w:instrText>
            </w:r>
            <w:r w:rsidR="0054109F">
              <w:rPr>
                <w:webHidden/>
              </w:rPr>
            </w:r>
            <w:r w:rsidR="0054109F">
              <w:rPr>
                <w:webHidden/>
              </w:rPr>
              <w:fldChar w:fldCharType="separate"/>
            </w:r>
            <w:r w:rsidR="0054109F">
              <w:rPr>
                <w:webHidden/>
              </w:rPr>
              <w:t>10</w:t>
            </w:r>
            <w:r w:rsidR="0054109F">
              <w:rPr>
                <w:webHidden/>
              </w:rPr>
              <w:fldChar w:fldCharType="end"/>
            </w:r>
          </w:hyperlink>
        </w:p>
        <w:p w14:paraId="7900D894" w14:textId="4158B05E" w:rsidR="0054109F" w:rsidRDefault="00000000">
          <w:pPr>
            <w:pStyle w:val="TOC1"/>
            <w:rPr>
              <w:rFonts w:eastAsiaTheme="minorEastAsia" w:cstheme="minorBidi"/>
              <w:b w:val="0"/>
              <w:bCs w:val="0"/>
              <w:caps w:val="0"/>
              <w:sz w:val="22"/>
              <w:szCs w:val="22"/>
            </w:rPr>
          </w:pPr>
          <w:hyperlink w:anchor="_Toc109055220" w:history="1">
            <w:r w:rsidR="0054109F" w:rsidRPr="00434087">
              <w:rPr>
                <w:rStyle w:val="Hyperlink"/>
              </w:rPr>
              <w:t>4.0 Laboratory Analytical Requirements</w:t>
            </w:r>
            <w:r w:rsidR="0054109F">
              <w:rPr>
                <w:webHidden/>
              </w:rPr>
              <w:tab/>
            </w:r>
            <w:r w:rsidR="0054109F">
              <w:rPr>
                <w:webHidden/>
              </w:rPr>
              <w:fldChar w:fldCharType="begin"/>
            </w:r>
            <w:r w:rsidR="0054109F">
              <w:rPr>
                <w:webHidden/>
              </w:rPr>
              <w:instrText xml:space="preserve"> PAGEREF _Toc109055220 \h </w:instrText>
            </w:r>
            <w:r w:rsidR="0054109F">
              <w:rPr>
                <w:webHidden/>
              </w:rPr>
            </w:r>
            <w:r w:rsidR="0054109F">
              <w:rPr>
                <w:webHidden/>
              </w:rPr>
              <w:fldChar w:fldCharType="separate"/>
            </w:r>
            <w:r w:rsidR="0054109F">
              <w:rPr>
                <w:webHidden/>
              </w:rPr>
              <w:t>11</w:t>
            </w:r>
            <w:r w:rsidR="0054109F">
              <w:rPr>
                <w:webHidden/>
              </w:rPr>
              <w:fldChar w:fldCharType="end"/>
            </w:r>
          </w:hyperlink>
        </w:p>
        <w:p w14:paraId="30819124" w14:textId="795ABA0B" w:rsidR="0054109F" w:rsidRDefault="00000000">
          <w:pPr>
            <w:pStyle w:val="TOC1"/>
            <w:rPr>
              <w:rFonts w:eastAsiaTheme="minorEastAsia" w:cstheme="minorBidi"/>
              <w:b w:val="0"/>
              <w:bCs w:val="0"/>
              <w:caps w:val="0"/>
              <w:sz w:val="22"/>
              <w:szCs w:val="22"/>
            </w:rPr>
          </w:pPr>
          <w:hyperlink w:anchor="_Toc109055221" w:history="1">
            <w:r w:rsidR="0054109F" w:rsidRPr="00434087">
              <w:rPr>
                <w:rStyle w:val="Hyperlink"/>
              </w:rPr>
              <w:t>5.0 Quality Assurance/Quality Control (QA/QC)</w:t>
            </w:r>
            <w:r w:rsidR="0054109F">
              <w:rPr>
                <w:webHidden/>
              </w:rPr>
              <w:tab/>
            </w:r>
            <w:r w:rsidR="0054109F">
              <w:rPr>
                <w:webHidden/>
              </w:rPr>
              <w:fldChar w:fldCharType="begin"/>
            </w:r>
            <w:r w:rsidR="0054109F">
              <w:rPr>
                <w:webHidden/>
              </w:rPr>
              <w:instrText xml:space="preserve"> PAGEREF _Toc109055221 \h </w:instrText>
            </w:r>
            <w:r w:rsidR="0054109F">
              <w:rPr>
                <w:webHidden/>
              </w:rPr>
            </w:r>
            <w:r w:rsidR="0054109F">
              <w:rPr>
                <w:webHidden/>
              </w:rPr>
              <w:fldChar w:fldCharType="separate"/>
            </w:r>
            <w:r w:rsidR="0054109F">
              <w:rPr>
                <w:webHidden/>
              </w:rPr>
              <w:t>12</w:t>
            </w:r>
            <w:r w:rsidR="0054109F">
              <w:rPr>
                <w:webHidden/>
              </w:rPr>
              <w:fldChar w:fldCharType="end"/>
            </w:r>
          </w:hyperlink>
        </w:p>
        <w:p w14:paraId="75A9D0CA" w14:textId="2505AAFE" w:rsidR="0054109F" w:rsidRDefault="00000000">
          <w:pPr>
            <w:pStyle w:val="TOC2"/>
            <w:rPr>
              <w:rFonts w:eastAsiaTheme="minorEastAsia" w:cstheme="minorBidi"/>
              <w:b w:val="0"/>
              <w:bCs w:val="0"/>
              <w:szCs w:val="22"/>
            </w:rPr>
          </w:pPr>
          <w:hyperlink w:anchor="_Toc109055222" w:history="1">
            <w:r w:rsidR="0054109F" w:rsidRPr="00434087">
              <w:rPr>
                <w:rStyle w:val="Hyperlink"/>
              </w:rPr>
              <w:t>5.1 Overview</w:t>
            </w:r>
            <w:r w:rsidR="0054109F">
              <w:rPr>
                <w:webHidden/>
              </w:rPr>
              <w:tab/>
            </w:r>
            <w:r w:rsidR="0054109F">
              <w:rPr>
                <w:webHidden/>
              </w:rPr>
              <w:fldChar w:fldCharType="begin"/>
            </w:r>
            <w:r w:rsidR="0054109F">
              <w:rPr>
                <w:webHidden/>
              </w:rPr>
              <w:instrText xml:space="preserve"> PAGEREF _Toc109055222 \h </w:instrText>
            </w:r>
            <w:r w:rsidR="0054109F">
              <w:rPr>
                <w:webHidden/>
              </w:rPr>
            </w:r>
            <w:r w:rsidR="0054109F">
              <w:rPr>
                <w:webHidden/>
              </w:rPr>
              <w:fldChar w:fldCharType="separate"/>
            </w:r>
            <w:r w:rsidR="0054109F">
              <w:rPr>
                <w:webHidden/>
              </w:rPr>
              <w:t>12</w:t>
            </w:r>
            <w:r w:rsidR="0054109F">
              <w:rPr>
                <w:webHidden/>
              </w:rPr>
              <w:fldChar w:fldCharType="end"/>
            </w:r>
          </w:hyperlink>
        </w:p>
        <w:p w14:paraId="0EBBD6DD" w14:textId="50DB1331" w:rsidR="0054109F" w:rsidRDefault="00000000">
          <w:pPr>
            <w:pStyle w:val="TOC2"/>
            <w:rPr>
              <w:rFonts w:eastAsiaTheme="minorEastAsia" w:cstheme="minorBidi"/>
              <w:b w:val="0"/>
              <w:bCs w:val="0"/>
              <w:szCs w:val="22"/>
            </w:rPr>
          </w:pPr>
          <w:hyperlink w:anchor="_Toc109055223" w:history="1">
            <w:r w:rsidR="0054109F" w:rsidRPr="00434087">
              <w:rPr>
                <w:rStyle w:val="Hyperlink"/>
              </w:rPr>
              <w:t>5.2 Training</w:t>
            </w:r>
            <w:r w:rsidR="0054109F">
              <w:rPr>
                <w:webHidden/>
              </w:rPr>
              <w:tab/>
            </w:r>
            <w:r w:rsidR="0054109F">
              <w:rPr>
                <w:webHidden/>
              </w:rPr>
              <w:fldChar w:fldCharType="begin"/>
            </w:r>
            <w:r w:rsidR="0054109F">
              <w:rPr>
                <w:webHidden/>
              </w:rPr>
              <w:instrText xml:space="preserve"> PAGEREF _Toc109055223 \h </w:instrText>
            </w:r>
            <w:r w:rsidR="0054109F">
              <w:rPr>
                <w:webHidden/>
              </w:rPr>
            </w:r>
            <w:r w:rsidR="0054109F">
              <w:rPr>
                <w:webHidden/>
              </w:rPr>
              <w:fldChar w:fldCharType="separate"/>
            </w:r>
            <w:r w:rsidR="0054109F">
              <w:rPr>
                <w:webHidden/>
              </w:rPr>
              <w:t>12</w:t>
            </w:r>
            <w:r w:rsidR="0054109F">
              <w:rPr>
                <w:webHidden/>
              </w:rPr>
              <w:fldChar w:fldCharType="end"/>
            </w:r>
          </w:hyperlink>
        </w:p>
        <w:p w14:paraId="572E8AF7" w14:textId="2114A155" w:rsidR="0054109F" w:rsidRDefault="00000000">
          <w:pPr>
            <w:pStyle w:val="TOC2"/>
            <w:rPr>
              <w:rFonts w:eastAsiaTheme="minorEastAsia" w:cstheme="minorBidi"/>
              <w:b w:val="0"/>
              <w:bCs w:val="0"/>
              <w:szCs w:val="22"/>
            </w:rPr>
          </w:pPr>
          <w:hyperlink w:anchor="_Toc109055224" w:history="1">
            <w:r w:rsidR="0054109F" w:rsidRPr="00434087">
              <w:rPr>
                <w:rStyle w:val="Hyperlink"/>
              </w:rPr>
              <w:t>5.3 QC Samples: Field Duplicates</w:t>
            </w:r>
            <w:r w:rsidR="0054109F">
              <w:rPr>
                <w:webHidden/>
              </w:rPr>
              <w:tab/>
            </w:r>
            <w:r w:rsidR="0054109F">
              <w:rPr>
                <w:webHidden/>
              </w:rPr>
              <w:fldChar w:fldCharType="begin"/>
            </w:r>
            <w:r w:rsidR="0054109F">
              <w:rPr>
                <w:webHidden/>
              </w:rPr>
              <w:instrText xml:space="preserve"> PAGEREF _Toc109055224 \h </w:instrText>
            </w:r>
            <w:r w:rsidR="0054109F">
              <w:rPr>
                <w:webHidden/>
              </w:rPr>
            </w:r>
            <w:r w:rsidR="0054109F">
              <w:rPr>
                <w:webHidden/>
              </w:rPr>
              <w:fldChar w:fldCharType="separate"/>
            </w:r>
            <w:r w:rsidR="0054109F">
              <w:rPr>
                <w:webHidden/>
              </w:rPr>
              <w:t>12</w:t>
            </w:r>
            <w:r w:rsidR="0054109F">
              <w:rPr>
                <w:webHidden/>
              </w:rPr>
              <w:fldChar w:fldCharType="end"/>
            </w:r>
          </w:hyperlink>
        </w:p>
        <w:p w14:paraId="2F9605CA" w14:textId="57234A89" w:rsidR="0054109F" w:rsidRDefault="00000000">
          <w:pPr>
            <w:pStyle w:val="TOC2"/>
            <w:rPr>
              <w:rFonts w:eastAsiaTheme="minorEastAsia" w:cstheme="minorBidi"/>
              <w:b w:val="0"/>
              <w:bCs w:val="0"/>
              <w:szCs w:val="22"/>
            </w:rPr>
          </w:pPr>
          <w:hyperlink w:anchor="_Toc109055225" w:history="1">
            <w:r w:rsidR="0054109F" w:rsidRPr="00434087">
              <w:rPr>
                <w:rStyle w:val="Hyperlink"/>
              </w:rPr>
              <w:t>5.4 QC Samples: Field Blanks</w:t>
            </w:r>
            <w:r w:rsidR="0054109F">
              <w:rPr>
                <w:webHidden/>
              </w:rPr>
              <w:tab/>
            </w:r>
            <w:r w:rsidR="0054109F">
              <w:rPr>
                <w:webHidden/>
              </w:rPr>
              <w:fldChar w:fldCharType="begin"/>
            </w:r>
            <w:r w:rsidR="0054109F">
              <w:rPr>
                <w:webHidden/>
              </w:rPr>
              <w:instrText xml:space="preserve"> PAGEREF _Toc109055225 \h </w:instrText>
            </w:r>
            <w:r w:rsidR="0054109F">
              <w:rPr>
                <w:webHidden/>
              </w:rPr>
            </w:r>
            <w:r w:rsidR="0054109F">
              <w:rPr>
                <w:webHidden/>
              </w:rPr>
              <w:fldChar w:fldCharType="separate"/>
            </w:r>
            <w:r w:rsidR="0054109F">
              <w:rPr>
                <w:webHidden/>
              </w:rPr>
              <w:t>13</w:t>
            </w:r>
            <w:r w:rsidR="0054109F">
              <w:rPr>
                <w:webHidden/>
              </w:rPr>
              <w:fldChar w:fldCharType="end"/>
            </w:r>
          </w:hyperlink>
        </w:p>
        <w:p w14:paraId="2968EAFB" w14:textId="331DB2E4" w:rsidR="0054109F" w:rsidRDefault="00000000">
          <w:pPr>
            <w:pStyle w:val="TOC2"/>
            <w:rPr>
              <w:rFonts w:eastAsiaTheme="minorEastAsia" w:cstheme="minorBidi"/>
              <w:b w:val="0"/>
              <w:bCs w:val="0"/>
              <w:szCs w:val="22"/>
            </w:rPr>
          </w:pPr>
          <w:hyperlink w:anchor="_Toc109055226" w:history="1">
            <w:r w:rsidR="0054109F" w:rsidRPr="00434087">
              <w:rPr>
                <w:rStyle w:val="Hyperlink"/>
              </w:rPr>
              <w:t>5.5 Instrument Calibration and Maintenance</w:t>
            </w:r>
            <w:r w:rsidR="0054109F">
              <w:rPr>
                <w:webHidden/>
              </w:rPr>
              <w:tab/>
            </w:r>
            <w:r w:rsidR="0054109F">
              <w:rPr>
                <w:webHidden/>
              </w:rPr>
              <w:fldChar w:fldCharType="begin"/>
            </w:r>
            <w:r w:rsidR="0054109F">
              <w:rPr>
                <w:webHidden/>
              </w:rPr>
              <w:instrText xml:space="preserve"> PAGEREF _Toc109055226 \h </w:instrText>
            </w:r>
            <w:r w:rsidR="0054109F">
              <w:rPr>
                <w:webHidden/>
              </w:rPr>
            </w:r>
            <w:r w:rsidR="0054109F">
              <w:rPr>
                <w:webHidden/>
              </w:rPr>
              <w:fldChar w:fldCharType="separate"/>
            </w:r>
            <w:r w:rsidR="0054109F">
              <w:rPr>
                <w:webHidden/>
              </w:rPr>
              <w:t>13</w:t>
            </w:r>
            <w:r w:rsidR="0054109F">
              <w:rPr>
                <w:webHidden/>
              </w:rPr>
              <w:fldChar w:fldCharType="end"/>
            </w:r>
          </w:hyperlink>
        </w:p>
        <w:p w14:paraId="390B556F" w14:textId="41ECD5F5" w:rsidR="0054109F" w:rsidRDefault="00000000">
          <w:pPr>
            <w:pStyle w:val="TOC2"/>
            <w:rPr>
              <w:rFonts w:eastAsiaTheme="minorEastAsia" w:cstheme="minorBidi"/>
              <w:b w:val="0"/>
              <w:bCs w:val="0"/>
              <w:szCs w:val="22"/>
            </w:rPr>
          </w:pPr>
          <w:hyperlink w:anchor="_Toc109055227" w:history="1">
            <w:r w:rsidR="0054109F" w:rsidRPr="00434087">
              <w:rPr>
                <w:rStyle w:val="Hyperlink"/>
              </w:rPr>
              <w:t>5.6 Data Quality Indicators</w:t>
            </w:r>
            <w:r w:rsidR="0054109F">
              <w:rPr>
                <w:webHidden/>
              </w:rPr>
              <w:tab/>
            </w:r>
            <w:r w:rsidR="0054109F">
              <w:rPr>
                <w:webHidden/>
              </w:rPr>
              <w:fldChar w:fldCharType="begin"/>
            </w:r>
            <w:r w:rsidR="0054109F">
              <w:rPr>
                <w:webHidden/>
              </w:rPr>
              <w:instrText xml:space="preserve"> PAGEREF _Toc109055227 \h </w:instrText>
            </w:r>
            <w:r w:rsidR="0054109F">
              <w:rPr>
                <w:webHidden/>
              </w:rPr>
            </w:r>
            <w:r w:rsidR="0054109F">
              <w:rPr>
                <w:webHidden/>
              </w:rPr>
              <w:fldChar w:fldCharType="separate"/>
            </w:r>
            <w:r w:rsidR="0054109F">
              <w:rPr>
                <w:webHidden/>
              </w:rPr>
              <w:t>13</w:t>
            </w:r>
            <w:r w:rsidR="0054109F">
              <w:rPr>
                <w:webHidden/>
              </w:rPr>
              <w:fldChar w:fldCharType="end"/>
            </w:r>
          </w:hyperlink>
        </w:p>
        <w:p w14:paraId="02D94A49" w14:textId="2B5AB3C4" w:rsidR="0054109F" w:rsidRDefault="00000000">
          <w:pPr>
            <w:pStyle w:val="TOC2"/>
            <w:rPr>
              <w:rFonts w:eastAsiaTheme="minorEastAsia" w:cstheme="minorBidi"/>
              <w:b w:val="0"/>
              <w:bCs w:val="0"/>
              <w:szCs w:val="22"/>
            </w:rPr>
          </w:pPr>
          <w:hyperlink w:anchor="_Toc109055228" w:history="1">
            <w:r w:rsidR="0054109F" w:rsidRPr="00434087">
              <w:rPr>
                <w:rStyle w:val="Hyperlink"/>
              </w:rPr>
              <w:t>5.7 Field Health and Safety</w:t>
            </w:r>
            <w:r w:rsidR="0054109F">
              <w:rPr>
                <w:webHidden/>
              </w:rPr>
              <w:tab/>
            </w:r>
            <w:r w:rsidR="0054109F">
              <w:rPr>
                <w:webHidden/>
              </w:rPr>
              <w:fldChar w:fldCharType="begin"/>
            </w:r>
            <w:r w:rsidR="0054109F">
              <w:rPr>
                <w:webHidden/>
              </w:rPr>
              <w:instrText xml:space="preserve"> PAGEREF _Toc109055228 \h </w:instrText>
            </w:r>
            <w:r w:rsidR="0054109F">
              <w:rPr>
                <w:webHidden/>
              </w:rPr>
            </w:r>
            <w:r w:rsidR="0054109F">
              <w:rPr>
                <w:webHidden/>
              </w:rPr>
              <w:fldChar w:fldCharType="separate"/>
            </w:r>
            <w:r w:rsidR="0054109F">
              <w:rPr>
                <w:webHidden/>
              </w:rPr>
              <w:t>15</w:t>
            </w:r>
            <w:r w:rsidR="0054109F">
              <w:rPr>
                <w:webHidden/>
              </w:rPr>
              <w:fldChar w:fldCharType="end"/>
            </w:r>
          </w:hyperlink>
        </w:p>
        <w:p w14:paraId="65038685" w14:textId="57E4D218" w:rsidR="0054109F" w:rsidRDefault="00000000">
          <w:pPr>
            <w:pStyle w:val="TOC1"/>
            <w:rPr>
              <w:rFonts w:eastAsiaTheme="minorEastAsia" w:cstheme="minorBidi"/>
              <w:b w:val="0"/>
              <w:bCs w:val="0"/>
              <w:caps w:val="0"/>
              <w:sz w:val="22"/>
              <w:szCs w:val="22"/>
            </w:rPr>
          </w:pPr>
          <w:hyperlink w:anchor="_Toc109055229" w:history="1">
            <w:r w:rsidR="0054109F" w:rsidRPr="00434087">
              <w:rPr>
                <w:rStyle w:val="Hyperlink"/>
              </w:rPr>
              <w:t>6.0 Data Management, Record Keeping &amp; Reporting</w:t>
            </w:r>
            <w:r w:rsidR="0054109F">
              <w:rPr>
                <w:webHidden/>
              </w:rPr>
              <w:tab/>
            </w:r>
            <w:r w:rsidR="0054109F">
              <w:rPr>
                <w:webHidden/>
              </w:rPr>
              <w:fldChar w:fldCharType="begin"/>
            </w:r>
            <w:r w:rsidR="0054109F">
              <w:rPr>
                <w:webHidden/>
              </w:rPr>
              <w:instrText xml:space="preserve"> PAGEREF _Toc109055229 \h </w:instrText>
            </w:r>
            <w:r w:rsidR="0054109F">
              <w:rPr>
                <w:webHidden/>
              </w:rPr>
            </w:r>
            <w:r w:rsidR="0054109F">
              <w:rPr>
                <w:webHidden/>
              </w:rPr>
              <w:fldChar w:fldCharType="separate"/>
            </w:r>
            <w:r w:rsidR="0054109F">
              <w:rPr>
                <w:webHidden/>
              </w:rPr>
              <w:t>15</w:t>
            </w:r>
            <w:r w:rsidR="0054109F">
              <w:rPr>
                <w:webHidden/>
              </w:rPr>
              <w:fldChar w:fldCharType="end"/>
            </w:r>
          </w:hyperlink>
        </w:p>
        <w:p w14:paraId="534C7868" w14:textId="3A592D2C" w:rsidR="0054109F" w:rsidRDefault="00000000">
          <w:pPr>
            <w:pStyle w:val="TOC2"/>
            <w:rPr>
              <w:rFonts w:eastAsiaTheme="minorEastAsia" w:cstheme="minorBidi"/>
              <w:b w:val="0"/>
              <w:bCs w:val="0"/>
              <w:szCs w:val="22"/>
            </w:rPr>
          </w:pPr>
          <w:hyperlink w:anchor="_Toc109055230" w:history="1">
            <w:r w:rsidR="0054109F" w:rsidRPr="00434087">
              <w:rPr>
                <w:rStyle w:val="Hyperlink"/>
              </w:rPr>
              <w:t>6.1 DEQ’s MT-eWQX database and Data Quality Review</w:t>
            </w:r>
            <w:r w:rsidR="0054109F">
              <w:rPr>
                <w:webHidden/>
              </w:rPr>
              <w:tab/>
            </w:r>
            <w:r w:rsidR="0054109F">
              <w:rPr>
                <w:webHidden/>
              </w:rPr>
              <w:fldChar w:fldCharType="begin"/>
            </w:r>
            <w:r w:rsidR="0054109F">
              <w:rPr>
                <w:webHidden/>
              </w:rPr>
              <w:instrText xml:space="preserve"> PAGEREF _Toc109055230 \h </w:instrText>
            </w:r>
            <w:r w:rsidR="0054109F">
              <w:rPr>
                <w:webHidden/>
              </w:rPr>
            </w:r>
            <w:r w:rsidR="0054109F">
              <w:rPr>
                <w:webHidden/>
              </w:rPr>
              <w:fldChar w:fldCharType="separate"/>
            </w:r>
            <w:r w:rsidR="0054109F">
              <w:rPr>
                <w:webHidden/>
              </w:rPr>
              <w:t>16</w:t>
            </w:r>
            <w:r w:rsidR="0054109F">
              <w:rPr>
                <w:webHidden/>
              </w:rPr>
              <w:fldChar w:fldCharType="end"/>
            </w:r>
          </w:hyperlink>
        </w:p>
        <w:p w14:paraId="37B40154" w14:textId="28219028" w:rsidR="0054109F" w:rsidRDefault="00000000">
          <w:pPr>
            <w:pStyle w:val="TOC2"/>
            <w:rPr>
              <w:rFonts w:eastAsiaTheme="minorEastAsia" w:cstheme="minorBidi"/>
              <w:b w:val="0"/>
              <w:bCs w:val="0"/>
              <w:szCs w:val="22"/>
            </w:rPr>
          </w:pPr>
          <w:hyperlink w:anchor="_Toc109055231" w:history="1">
            <w:r w:rsidR="0054109F" w:rsidRPr="00434087">
              <w:rPr>
                <w:rStyle w:val="Hyperlink"/>
              </w:rPr>
              <w:t>6.2 Other Data Management Approaches</w:t>
            </w:r>
            <w:r w:rsidR="0054109F">
              <w:rPr>
                <w:webHidden/>
              </w:rPr>
              <w:tab/>
            </w:r>
            <w:r w:rsidR="0054109F">
              <w:rPr>
                <w:webHidden/>
              </w:rPr>
              <w:fldChar w:fldCharType="begin"/>
            </w:r>
            <w:r w:rsidR="0054109F">
              <w:rPr>
                <w:webHidden/>
              </w:rPr>
              <w:instrText xml:space="preserve"> PAGEREF _Toc109055231 \h </w:instrText>
            </w:r>
            <w:r w:rsidR="0054109F">
              <w:rPr>
                <w:webHidden/>
              </w:rPr>
            </w:r>
            <w:r w:rsidR="0054109F">
              <w:rPr>
                <w:webHidden/>
              </w:rPr>
              <w:fldChar w:fldCharType="separate"/>
            </w:r>
            <w:r w:rsidR="0054109F">
              <w:rPr>
                <w:webHidden/>
              </w:rPr>
              <w:t>16</w:t>
            </w:r>
            <w:r w:rsidR="0054109F">
              <w:rPr>
                <w:webHidden/>
              </w:rPr>
              <w:fldChar w:fldCharType="end"/>
            </w:r>
          </w:hyperlink>
        </w:p>
        <w:p w14:paraId="0FA3BB4D" w14:textId="7CA50F24" w:rsidR="0054109F" w:rsidRDefault="00000000">
          <w:pPr>
            <w:pStyle w:val="TOC1"/>
            <w:rPr>
              <w:rFonts w:eastAsiaTheme="minorEastAsia" w:cstheme="minorBidi"/>
              <w:b w:val="0"/>
              <w:bCs w:val="0"/>
              <w:caps w:val="0"/>
              <w:sz w:val="22"/>
              <w:szCs w:val="22"/>
            </w:rPr>
          </w:pPr>
          <w:hyperlink w:anchor="_Toc109055232" w:history="1">
            <w:r w:rsidR="0054109F" w:rsidRPr="00434087">
              <w:rPr>
                <w:rStyle w:val="Hyperlink"/>
              </w:rPr>
              <w:t>7.0 Data Analysis and Reporting</w:t>
            </w:r>
            <w:r w:rsidR="0054109F">
              <w:rPr>
                <w:webHidden/>
              </w:rPr>
              <w:tab/>
            </w:r>
            <w:r w:rsidR="0054109F">
              <w:rPr>
                <w:webHidden/>
              </w:rPr>
              <w:fldChar w:fldCharType="begin"/>
            </w:r>
            <w:r w:rsidR="0054109F">
              <w:rPr>
                <w:webHidden/>
              </w:rPr>
              <w:instrText xml:space="preserve"> PAGEREF _Toc109055232 \h </w:instrText>
            </w:r>
            <w:r w:rsidR="0054109F">
              <w:rPr>
                <w:webHidden/>
              </w:rPr>
            </w:r>
            <w:r w:rsidR="0054109F">
              <w:rPr>
                <w:webHidden/>
              </w:rPr>
              <w:fldChar w:fldCharType="separate"/>
            </w:r>
            <w:r w:rsidR="0054109F">
              <w:rPr>
                <w:webHidden/>
              </w:rPr>
              <w:t>16</w:t>
            </w:r>
            <w:r w:rsidR="0054109F">
              <w:rPr>
                <w:webHidden/>
              </w:rPr>
              <w:fldChar w:fldCharType="end"/>
            </w:r>
          </w:hyperlink>
        </w:p>
        <w:p w14:paraId="17552CE7" w14:textId="49C0A367" w:rsidR="0054109F" w:rsidRDefault="00000000">
          <w:pPr>
            <w:pStyle w:val="TOC2"/>
            <w:rPr>
              <w:rFonts w:eastAsiaTheme="minorEastAsia" w:cstheme="minorBidi"/>
              <w:b w:val="0"/>
              <w:bCs w:val="0"/>
              <w:szCs w:val="22"/>
            </w:rPr>
          </w:pPr>
          <w:hyperlink w:anchor="_Toc109055233" w:history="1">
            <w:r w:rsidR="0054109F" w:rsidRPr="00434087">
              <w:rPr>
                <w:rStyle w:val="Hyperlink"/>
              </w:rPr>
              <w:t>7.1 Data Analysis</w:t>
            </w:r>
            <w:r w:rsidR="0054109F">
              <w:rPr>
                <w:webHidden/>
              </w:rPr>
              <w:tab/>
            </w:r>
            <w:r w:rsidR="0054109F">
              <w:rPr>
                <w:webHidden/>
              </w:rPr>
              <w:fldChar w:fldCharType="begin"/>
            </w:r>
            <w:r w:rsidR="0054109F">
              <w:rPr>
                <w:webHidden/>
              </w:rPr>
              <w:instrText xml:space="preserve"> PAGEREF _Toc109055233 \h </w:instrText>
            </w:r>
            <w:r w:rsidR="0054109F">
              <w:rPr>
                <w:webHidden/>
              </w:rPr>
            </w:r>
            <w:r w:rsidR="0054109F">
              <w:rPr>
                <w:webHidden/>
              </w:rPr>
              <w:fldChar w:fldCharType="separate"/>
            </w:r>
            <w:r w:rsidR="0054109F">
              <w:rPr>
                <w:webHidden/>
              </w:rPr>
              <w:t>16</w:t>
            </w:r>
            <w:r w:rsidR="0054109F">
              <w:rPr>
                <w:webHidden/>
              </w:rPr>
              <w:fldChar w:fldCharType="end"/>
            </w:r>
          </w:hyperlink>
        </w:p>
        <w:p w14:paraId="39A848AD" w14:textId="6FA38B0C" w:rsidR="0054109F" w:rsidRDefault="00000000">
          <w:pPr>
            <w:pStyle w:val="TOC2"/>
            <w:rPr>
              <w:rFonts w:eastAsiaTheme="minorEastAsia" w:cstheme="minorBidi"/>
              <w:b w:val="0"/>
              <w:bCs w:val="0"/>
              <w:szCs w:val="22"/>
            </w:rPr>
          </w:pPr>
          <w:hyperlink w:anchor="_Toc109055234" w:history="1">
            <w:r w:rsidR="0054109F" w:rsidRPr="00434087">
              <w:rPr>
                <w:rStyle w:val="Hyperlink"/>
              </w:rPr>
              <w:t>7.2 Reporting</w:t>
            </w:r>
            <w:r w:rsidR="0054109F">
              <w:rPr>
                <w:webHidden/>
              </w:rPr>
              <w:tab/>
            </w:r>
            <w:r w:rsidR="0054109F">
              <w:rPr>
                <w:webHidden/>
              </w:rPr>
              <w:fldChar w:fldCharType="begin"/>
            </w:r>
            <w:r w:rsidR="0054109F">
              <w:rPr>
                <w:webHidden/>
              </w:rPr>
              <w:instrText xml:space="preserve"> PAGEREF _Toc109055234 \h </w:instrText>
            </w:r>
            <w:r w:rsidR="0054109F">
              <w:rPr>
                <w:webHidden/>
              </w:rPr>
            </w:r>
            <w:r w:rsidR="0054109F">
              <w:rPr>
                <w:webHidden/>
              </w:rPr>
              <w:fldChar w:fldCharType="separate"/>
            </w:r>
            <w:r w:rsidR="0054109F">
              <w:rPr>
                <w:webHidden/>
              </w:rPr>
              <w:t>17</w:t>
            </w:r>
            <w:r w:rsidR="0054109F">
              <w:rPr>
                <w:webHidden/>
              </w:rPr>
              <w:fldChar w:fldCharType="end"/>
            </w:r>
          </w:hyperlink>
        </w:p>
        <w:p w14:paraId="07F8D584" w14:textId="618F8B62" w:rsidR="0054109F" w:rsidRDefault="00000000">
          <w:pPr>
            <w:pStyle w:val="TOC1"/>
            <w:rPr>
              <w:rFonts w:eastAsiaTheme="minorEastAsia" w:cstheme="minorBidi"/>
              <w:b w:val="0"/>
              <w:bCs w:val="0"/>
              <w:caps w:val="0"/>
              <w:sz w:val="22"/>
              <w:szCs w:val="22"/>
            </w:rPr>
          </w:pPr>
          <w:hyperlink w:anchor="_Toc109055235" w:history="1">
            <w:r w:rsidR="0054109F" w:rsidRPr="00434087">
              <w:rPr>
                <w:rStyle w:val="Hyperlink"/>
              </w:rPr>
              <w:t>8.0 References</w:t>
            </w:r>
            <w:r w:rsidR="0054109F">
              <w:rPr>
                <w:webHidden/>
              </w:rPr>
              <w:tab/>
            </w:r>
            <w:r w:rsidR="0054109F">
              <w:rPr>
                <w:webHidden/>
              </w:rPr>
              <w:fldChar w:fldCharType="begin"/>
            </w:r>
            <w:r w:rsidR="0054109F">
              <w:rPr>
                <w:webHidden/>
              </w:rPr>
              <w:instrText xml:space="preserve"> PAGEREF _Toc109055235 \h </w:instrText>
            </w:r>
            <w:r w:rsidR="0054109F">
              <w:rPr>
                <w:webHidden/>
              </w:rPr>
            </w:r>
            <w:r w:rsidR="0054109F">
              <w:rPr>
                <w:webHidden/>
              </w:rPr>
              <w:fldChar w:fldCharType="separate"/>
            </w:r>
            <w:r w:rsidR="0054109F">
              <w:rPr>
                <w:webHidden/>
              </w:rPr>
              <w:t>17</w:t>
            </w:r>
            <w:r w:rsidR="0054109F">
              <w:rPr>
                <w:webHidden/>
              </w:rPr>
              <w:fldChar w:fldCharType="end"/>
            </w:r>
          </w:hyperlink>
        </w:p>
        <w:p w14:paraId="7023D30F" w14:textId="21F89641" w:rsidR="0054109F" w:rsidRDefault="00000000">
          <w:pPr>
            <w:pStyle w:val="TOC1"/>
            <w:rPr>
              <w:rFonts w:eastAsiaTheme="minorEastAsia" w:cstheme="minorBidi"/>
              <w:b w:val="0"/>
              <w:bCs w:val="0"/>
              <w:caps w:val="0"/>
              <w:sz w:val="22"/>
              <w:szCs w:val="22"/>
            </w:rPr>
          </w:pPr>
          <w:hyperlink w:anchor="_Toc109055236" w:history="1">
            <w:r w:rsidR="0054109F" w:rsidRPr="00434087">
              <w:rPr>
                <w:rStyle w:val="Hyperlink"/>
              </w:rPr>
              <w:t>Appendix A - Project Budget</w:t>
            </w:r>
            <w:r w:rsidR="0054109F">
              <w:rPr>
                <w:webHidden/>
              </w:rPr>
              <w:tab/>
            </w:r>
            <w:r w:rsidR="0054109F">
              <w:rPr>
                <w:webHidden/>
              </w:rPr>
              <w:fldChar w:fldCharType="begin"/>
            </w:r>
            <w:r w:rsidR="0054109F">
              <w:rPr>
                <w:webHidden/>
              </w:rPr>
              <w:instrText xml:space="preserve"> PAGEREF _Toc109055236 \h </w:instrText>
            </w:r>
            <w:r w:rsidR="0054109F">
              <w:rPr>
                <w:webHidden/>
              </w:rPr>
            </w:r>
            <w:r w:rsidR="0054109F">
              <w:rPr>
                <w:webHidden/>
              </w:rPr>
              <w:fldChar w:fldCharType="separate"/>
            </w:r>
            <w:r w:rsidR="0054109F">
              <w:rPr>
                <w:webHidden/>
              </w:rPr>
              <w:t>1</w:t>
            </w:r>
            <w:r w:rsidR="0054109F">
              <w:rPr>
                <w:webHidden/>
              </w:rPr>
              <w:fldChar w:fldCharType="end"/>
            </w:r>
          </w:hyperlink>
        </w:p>
        <w:p w14:paraId="2964E9CD" w14:textId="583FBEF7" w:rsidR="0054109F" w:rsidRDefault="00000000">
          <w:pPr>
            <w:pStyle w:val="TOC1"/>
            <w:rPr>
              <w:rFonts w:eastAsiaTheme="minorEastAsia" w:cstheme="minorBidi"/>
              <w:b w:val="0"/>
              <w:bCs w:val="0"/>
              <w:caps w:val="0"/>
              <w:sz w:val="22"/>
              <w:szCs w:val="22"/>
            </w:rPr>
          </w:pPr>
          <w:hyperlink w:anchor="_Toc109055237" w:history="1">
            <w:r w:rsidR="0054109F" w:rsidRPr="00434087">
              <w:rPr>
                <w:rStyle w:val="Hyperlink"/>
              </w:rPr>
              <w:t>Appendix B – Field Forms</w:t>
            </w:r>
            <w:r w:rsidR="0054109F">
              <w:rPr>
                <w:webHidden/>
              </w:rPr>
              <w:tab/>
            </w:r>
            <w:r w:rsidR="0054109F">
              <w:rPr>
                <w:webHidden/>
              </w:rPr>
              <w:fldChar w:fldCharType="begin"/>
            </w:r>
            <w:r w:rsidR="0054109F">
              <w:rPr>
                <w:webHidden/>
              </w:rPr>
              <w:instrText xml:space="preserve"> PAGEREF _Toc109055237 \h </w:instrText>
            </w:r>
            <w:r w:rsidR="0054109F">
              <w:rPr>
                <w:webHidden/>
              </w:rPr>
            </w:r>
            <w:r w:rsidR="0054109F">
              <w:rPr>
                <w:webHidden/>
              </w:rPr>
              <w:fldChar w:fldCharType="separate"/>
            </w:r>
            <w:r w:rsidR="0054109F">
              <w:rPr>
                <w:webHidden/>
              </w:rPr>
              <w:t>1</w:t>
            </w:r>
            <w:r w:rsidR="0054109F">
              <w:rPr>
                <w:webHidden/>
              </w:rPr>
              <w:fldChar w:fldCharType="end"/>
            </w:r>
          </w:hyperlink>
        </w:p>
        <w:p w14:paraId="1F6A20FC" w14:textId="18A9DF1C" w:rsidR="0054109F" w:rsidRDefault="00000000">
          <w:pPr>
            <w:pStyle w:val="TOC1"/>
            <w:rPr>
              <w:rFonts w:eastAsiaTheme="minorEastAsia" w:cstheme="minorBidi"/>
              <w:b w:val="0"/>
              <w:bCs w:val="0"/>
              <w:caps w:val="0"/>
              <w:sz w:val="22"/>
              <w:szCs w:val="22"/>
            </w:rPr>
          </w:pPr>
          <w:hyperlink w:anchor="_Toc109055238" w:history="1">
            <w:r w:rsidR="0054109F" w:rsidRPr="00434087">
              <w:rPr>
                <w:rStyle w:val="Hyperlink"/>
              </w:rPr>
              <w:t>Appendix C – EQUIPMENT AND SUPPLIES</w:t>
            </w:r>
            <w:r w:rsidR="0054109F">
              <w:rPr>
                <w:webHidden/>
              </w:rPr>
              <w:tab/>
            </w:r>
            <w:r w:rsidR="0054109F">
              <w:rPr>
                <w:webHidden/>
              </w:rPr>
              <w:fldChar w:fldCharType="begin"/>
            </w:r>
            <w:r w:rsidR="0054109F">
              <w:rPr>
                <w:webHidden/>
              </w:rPr>
              <w:instrText xml:space="preserve"> PAGEREF _Toc109055238 \h </w:instrText>
            </w:r>
            <w:r w:rsidR="0054109F">
              <w:rPr>
                <w:webHidden/>
              </w:rPr>
            </w:r>
            <w:r w:rsidR="0054109F">
              <w:rPr>
                <w:webHidden/>
              </w:rPr>
              <w:fldChar w:fldCharType="separate"/>
            </w:r>
            <w:r w:rsidR="0054109F">
              <w:rPr>
                <w:webHidden/>
              </w:rPr>
              <w:t>4</w:t>
            </w:r>
            <w:r w:rsidR="0054109F">
              <w:rPr>
                <w:webHidden/>
              </w:rPr>
              <w:fldChar w:fldCharType="end"/>
            </w:r>
          </w:hyperlink>
        </w:p>
        <w:p w14:paraId="45803046" w14:textId="30FF4289" w:rsidR="0054109F" w:rsidRDefault="00000000">
          <w:pPr>
            <w:pStyle w:val="TOC1"/>
            <w:rPr>
              <w:rFonts w:eastAsiaTheme="minorEastAsia" w:cstheme="minorBidi"/>
              <w:b w:val="0"/>
              <w:bCs w:val="0"/>
              <w:caps w:val="0"/>
              <w:sz w:val="22"/>
              <w:szCs w:val="22"/>
            </w:rPr>
          </w:pPr>
          <w:hyperlink w:anchor="_Toc109055239" w:history="1">
            <w:r w:rsidR="0054109F" w:rsidRPr="00434087">
              <w:rPr>
                <w:rStyle w:val="Hyperlink"/>
              </w:rPr>
              <w:t>Appendix D – QA/QC Terms and Definitions</w:t>
            </w:r>
            <w:r w:rsidR="0054109F">
              <w:rPr>
                <w:webHidden/>
              </w:rPr>
              <w:tab/>
            </w:r>
            <w:r w:rsidR="0054109F">
              <w:rPr>
                <w:webHidden/>
              </w:rPr>
              <w:fldChar w:fldCharType="begin"/>
            </w:r>
            <w:r w:rsidR="0054109F">
              <w:rPr>
                <w:webHidden/>
              </w:rPr>
              <w:instrText xml:space="preserve"> PAGEREF _Toc109055239 \h </w:instrText>
            </w:r>
            <w:r w:rsidR="0054109F">
              <w:rPr>
                <w:webHidden/>
              </w:rPr>
            </w:r>
            <w:r w:rsidR="0054109F">
              <w:rPr>
                <w:webHidden/>
              </w:rPr>
              <w:fldChar w:fldCharType="separate"/>
            </w:r>
            <w:r w:rsidR="0054109F">
              <w:rPr>
                <w:webHidden/>
              </w:rPr>
              <w:t>5</w:t>
            </w:r>
            <w:r w:rsidR="0054109F">
              <w:rPr>
                <w:webHidden/>
              </w:rPr>
              <w:fldChar w:fldCharType="end"/>
            </w:r>
          </w:hyperlink>
        </w:p>
        <w:p w14:paraId="5BE18D39" w14:textId="61C8C744" w:rsidR="00F04062" w:rsidRDefault="007C6D3F" w:rsidP="002E1C65">
          <w:pPr>
            <w:rPr>
              <w:rFonts w:cstheme="minorHAnsi"/>
              <w:b/>
              <w:bCs/>
              <w:noProof/>
              <w:szCs w:val="22"/>
            </w:rPr>
          </w:pPr>
          <w:r w:rsidRPr="00782B6E">
            <w:rPr>
              <w:rFonts w:cstheme="minorHAnsi"/>
              <w:b/>
              <w:bCs/>
              <w:noProof/>
              <w:szCs w:val="22"/>
            </w:rPr>
            <w:fldChar w:fldCharType="end"/>
          </w:r>
        </w:p>
        <w:p w14:paraId="400B5829" w14:textId="77777777" w:rsidR="008F0FAB" w:rsidRDefault="00000000" w:rsidP="008F0FAB">
          <w:pPr>
            <w:pStyle w:val="Heading1"/>
            <w:jc w:val="both"/>
            <w:rPr>
              <w:noProof/>
            </w:rPr>
          </w:pPr>
        </w:p>
      </w:sdtContent>
    </w:sdt>
    <w:bookmarkEnd w:id="1" w:displacedByCustomXml="prev"/>
    <w:bookmarkStart w:id="3" w:name="_Toc32995278" w:displacedByCustomXml="prev"/>
    <w:bookmarkStart w:id="4" w:name="_Toc218694533" w:displacedByCustomXml="prev"/>
    <w:p w14:paraId="26FC8DDE" w14:textId="218680E3" w:rsidR="008F0FAB" w:rsidRPr="007C4D14" w:rsidRDefault="008F0FAB" w:rsidP="008F0FAB">
      <w:pPr>
        <w:pStyle w:val="Heading1"/>
        <w:jc w:val="both"/>
      </w:pPr>
      <w:r w:rsidRPr="008F0FAB">
        <w:rPr>
          <w:rFonts w:ascii="Arial" w:hAnsi="Arial" w:cs="Arial"/>
        </w:rPr>
        <w:t xml:space="preserve"> </w:t>
      </w:r>
      <w:bookmarkStart w:id="5" w:name="_Toc109055200"/>
      <w:r w:rsidRPr="007C4D14">
        <w:t>Revision History</w:t>
      </w:r>
      <w:bookmarkEnd w:id="3"/>
      <w:bookmarkEnd w:id="5"/>
    </w:p>
    <w:p w14:paraId="41DB425C" w14:textId="77777777" w:rsidR="008F0FAB" w:rsidRPr="007C4D14" w:rsidRDefault="008F0FAB" w:rsidP="008F0FAB">
      <w:pPr>
        <w:rPr>
          <w:rFonts w:cstheme="minorHAnsi"/>
          <w:szCs w:val="22"/>
        </w:rPr>
      </w:pPr>
      <w:r w:rsidRPr="007C4D14">
        <w:rPr>
          <w:rFonts w:cstheme="minorHAnsi"/>
          <w:szCs w:val="22"/>
        </w:rPr>
        <w:t xml:space="preserve">This section should be used to note any changes in protocols, who made the changes (initial when they occurred), and a description of the changes. </w:t>
      </w:r>
    </w:p>
    <w:p w14:paraId="138D8C8E" w14:textId="77777777" w:rsidR="008F0FAB" w:rsidRPr="007C4D14" w:rsidRDefault="008F0FAB" w:rsidP="008F0FAB">
      <w:pPr>
        <w:rPr>
          <w:rFonts w:cstheme="minorHAnsi"/>
          <w:szCs w:val="22"/>
        </w:rPr>
      </w:pPr>
    </w:p>
    <w:tbl>
      <w:tblPr>
        <w:tblStyle w:val="TableGrid"/>
        <w:tblW w:w="0" w:type="auto"/>
        <w:tblLook w:val="04A0" w:firstRow="1" w:lastRow="0" w:firstColumn="1" w:lastColumn="0" w:noHBand="0" w:noVBand="1"/>
      </w:tblPr>
      <w:tblGrid>
        <w:gridCol w:w="1094"/>
        <w:gridCol w:w="1871"/>
        <w:gridCol w:w="1452"/>
        <w:gridCol w:w="4933"/>
      </w:tblGrid>
      <w:tr w:rsidR="008F0FAB" w:rsidRPr="008F0FAB" w14:paraId="05297159" w14:textId="77777777" w:rsidTr="0054109F">
        <w:tc>
          <w:tcPr>
            <w:tcW w:w="1094" w:type="dxa"/>
          </w:tcPr>
          <w:p w14:paraId="3855E1DA" w14:textId="77777777" w:rsidR="008F0FAB" w:rsidRPr="007C4D14" w:rsidRDefault="008F0FAB" w:rsidP="00A21DF9">
            <w:pPr>
              <w:rPr>
                <w:rFonts w:cstheme="minorHAnsi"/>
                <w:b/>
                <w:szCs w:val="22"/>
              </w:rPr>
            </w:pPr>
            <w:r w:rsidRPr="007C4D14">
              <w:rPr>
                <w:rFonts w:cstheme="minorHAnsi"/>
                <w:b/>
                <w:szCs w:val="22"/>
              </w:rPr>
              <w:t>Revision #</w:t>
            </w:r>
          </w:p>
        </w:tc>
        <w:tc>
          <w:tcPr>
            <w:tcW w:w="1871" w:type="dxa"/>
          </w:tcPr>
          <w:p w14:paraId="51C63FDC" w14:textId="77777777" w:rsidR="008F0FAB" w:rsidRPr="007C4D14" w:rsidRDefault="008F0FAB" w:rsidP="00A21DF9">
            <w:pPr>
              <w:rPr>
                <w:rFonts w:cstheme="minorHAnsi"/>
                <w:b/>
                <w:szCs w:val="22"/>
              </w:rPr>
            </w:pPr>
            <w:r w:rsidRPr="007C4D14">
              <w:rPr>
                <w:rFonts w:cstheme="minorHAnsi"/>
                <w:b/>
                <w:szCs w:val="22"/>
              </w:rPr>
              <w:t>Revision by – Date</w:t>
            </w:r>
          </w:p>
        </w:tc>
        <w:tc>
          <w:tcPr>
            <w:tcW w:w="1452" w:type="dxa"/>
          </w:tcPr>
          <w:p w14:paraId="3D8CC8B1" w14:textId="77777777" w:rsidR="008F0FAB" w:rsidRPr="007C4D14" w:rsidRDefault="008F0FAB" w:rsidP="00A21DF9">
            <w:pPr>
              <w:rPr>
                <w:rFonts w:cstheme="minorHAnsi"/>
                <w:b/>
                <w:szCs w:val="22"/>
              </w:rPr>
            </w:pPr>
            <w:r w:rsidRPr="007C4D14">
              <w:rPr>
                <w:rFonts w:cstheme="minorHAnsi"/>
                <w:b/>
                <w:szCs w:val="22"/>
              </w:rPr>
              <w:t>Section(s) Revised</w:t>
            </w:r>
          </w:p>
        </w:tc>
        <w:tc>
          <w:tcPr>
            <w:tcW w:w="4933" w:type="dxa"/>
          </w:tcPr>
          <w:p w14:paraId="5CFC0C1C" w14:textId="77777777" w:rsidR="008F0FAB" w:rsidRPr="007C4D14" w:rsidRDefault="008F0FAB" w:rsidP="00A21DF9">
            <w:pPr>
              <w:rPr>
                <w:rFonts w:cstheme="minorHAnsi"/>
                <w:b/>
                <w:szCs w:val="22"/>
              </w:rPr>
            </w:pPr>
            <w:r w:rsidRPr="007C4D14">
              <w:rPr>
                <w:rFonts w:cstheme="minorHAnsi"/>
                <w:b/>
                <w:szCs w:val="22"/>
              </w:rPr>
              <w:t>Revision Description</w:t>
            </w:r>
          </w:p>
          <w:p w14:paraId="4C6977E5" w14:textId="77777777" w:rsidR="008F0FAB" w:rsidRPr="007C4D14" w:rsidRDefault="008F0FAB" w:rsidP="00A21DF9">
            <w:pPr>
              <w:rPr>
                <w:rFonts w:cstheme="minorHAnsi"/>
                <w:b/>
                <w:szCs w:val="22"/>
              </w:rPr>
            </w:pPr>
          </w:p>
        </w:tc>
      </w:tr>
      <w:tr w:rsidR="008F0FAB" w:rsidRPr="008F0FAB" w14:paraId="215EC149" w14:textId="77777777" w:rsidTr="0054109F">
        <w:tc>
          <w:tcPr>
            <w:tcW w:w="1094" w:type="dxa"/>
          </w:tcPr>
          <w:p w14:paraId="21EE1F0D" w14:textId="77777777" w:rsidR="008F0FAB" w:rsidRPr="007C4D14" w:rsidRDefault="008F0FAB" w:rsidP="00A21DF9">
            <w:pPr>
              <w:rPr>
                <w:rFonts w:cstheme="minorHAnsi"/>
                <w:szCs w:val="22"/>
              </w:rPr>
            </w:pPr>
            <w:r w:rsidRPr="007C4D14">
              <w:rPr>
                <w:rFonts w:cstheme="minorHAnsi"/>
                <w:szCs w:val="22"/>
              </w:rPr>
              <w:t>1</w:t>
            </w:r>
          </w:p>
        </w:tc>
        <w:tc>
          <w:tcPr>
            <w:tcW w:w="1871" w:type="dxa"/>
          </w:tcPr>
          <w:p w14:paraId="472A06A5" w14:textId="447F9EDE" w:rsidR="008F0FAB" w:rsidRPr="007C4D14" w:rsidRDefault="0054109F" w:rsidP="00A21DF9">
            <w:pPr>
              <w:rPr>
                <w:rFonts w:cstheme="minorHAnsi"/>
                <w:szCs w:val="22"/>
              </w:rPr>
            </w:pPr>
            <w:r>
              <w:rPr>
                <w:rFonts w:cstheme="minorHAnsi"/>
                <w:szCs w:val="22"/>
              </w:rPr>
              <w:t xml:space="preserve">JB - </w:t>
            </w:r>
            <w:r w:rsidR="00AD4A46">
              <w:rPr>
                <w:rFonts w:cstheme="minorHAnsi"/>
                <w:szCs w:val="22"/>
              </w:rPr>
              <w:t>7/18/2022</w:t>
            </w:r>
          </w:p>
        </w:tc>
        <w:tc>
          <w:tcPr>
            <w:tcW w:w="1452" w:type="dxa"/>
          </w:tcPr>
          <w:p w14:paraId="324DC860" w14:textId="293B20C5" w:rsidR="008F0FAB" w:rsidRPr="007C4D14" w:rsidRDefault="0054109F" w:rsidP="00A21DF9">
            <w:pPr>
              <w:rPr>
                <w:rFonts w:cstheme="minorHAnsi"/>
                <w:szCs w:val="22"/>
              </w:rPr>
            </w:pPr>
            <w:r>
              <w:rPr>
                <w:rFonts w:cstheme="minorHAnsi"/>
                <w:szCs w:val="22"/>
              </w:rPr>
              <w:t>2.2</w:t>
            </w:r>
          </w:p>
        </w:tc>
        <w:tc>
          <w:tcPr>
            <w:tcW w:w="4933" w:type="dxa"/>
          </w:tcPr>
          <w:p w14:paraId="6D0CDBF2" w14:textId="064B3B8A" w:rsidR="008F0FAB" w:rsidRPr="007C4D14" w:rsidRDefault="0054109F" w:rsidP="00A21DF9">
            <w:pPr>
              <w:rPr>
                <w:rFonts w:cstheme="minorHAnsi"/>
                <w:szCs w:val="22"/>
              </w:rPr>
            </w:pPr>
            <w:r>
              <w:rPr>
                <w:rFonts w:cstheme="minorHAnsi"/>
                <w:szCs w:val="22"/>
              </w:rPr>
              <w:t>Added near-shore sampling locations new for 2022</w:t>
            </w:r>
          </w:p>
        </w:tc>
      </w:tr>
      <w:tr w:rsidR="008F0FAB" w:rsidRPr="008F0FAB" w14:paraId="3922136A" w14:textId="77777777" w:rsidTr="0054109F">
        <w:tc>
          <w:tcPr>
            <w:tcW w:w="1094" w:type="dxa"/>
          </w:tcPr>
          <w:p w14:paraId="4B29D66D" w14:textId="77777777" w:rsidR="008F0FAB" w:rsidRPr="007C4D14" w:rsidRDefault="008F0FAB" w:rsidP="00A21DF9">
            <w:pPr>
              <w:rPr>
                <w:rFonts w:cstheme="minorHAnsi"/>
                <w:szCs w:val="22"/>
              </w:rPr>
            </w:pPr>
            <w:r w:rsidRPr="007C4D14">
              <w:rPr>
                <w:rFonts w:cstheme="minorHAnsi"/>
                <w:szCs w:val="22"/>
              </w:rPr>
              <w:t>2</w:t>
            </w:r>
          </w:p>
        </w:tc>
        <w:tc>
          <w:tcPr>
            <w:tcW w:w="1871" w:type="dxa"/>
          </w:tcPr>
          <w:p w14:paraId="1F13E353" w14:textId="5432DC70" w:rsidR="008F0FAB" w:rsidRPr="007C4D14" w:rsidRDefault="0054109F" w:rsidP="00A21DF9">
            <w:pPr>
              <w:rPr>
                <w:rFonts w:cstheme="minorHAnsi"/>
                <w:szCs w:val="22"/>
              </w:rPr>
            </w:pPr>
            <w:r>
              <w:rPr>
                <w:rFonts w:cstheme="minorHAnsi"/>
                <w:szCs w:val="22"/>
              </w:rPr>
              <w:t>JB – 7/18/2022</w:t>
            </w:r>
          </w:p>
        </w:tc>
        <w:tc>
          <w:tcPr>
            <w:tcW w:w="1452" w:type="dxa"/>
          </w:tcPr>
          <w:p w14:paraId="5904A4D1" w14:textId="6ED49A0E" w:rsidR="008F0FAB" w:rsidRPr="007C4D14" w:rsidRDefault="0054109F" w:rsidP="00A21DF9">
            <w:pPr>
              <w:rPr>
                <w:rFonts w:cstheme="minorHAnsi"/>
                <w:szCs w:val="22"/>
              </w:rPr>
            </w:pPr>
            <w:r>
              <w:rPr>
                <w:rFonts w:cstheme="minorHAnsi"/>
                <w:szCs w:val="22"/>
              </w:rPr>
              <w:t>3.3</w:t>
            </w:r>
          </w:p>
        </w:tc>
        <w:tc>
          <w:tcPr>
            <w:tcW w:w="4933" w:type="dxa"/>
          </w:tcPr>
          <w:p w14:paraId="2233D293" w14:textId="77E249AC" w:rsidR="008F0FAB" w:rsidRPr="007C4D14" w:rsidRDefault="0054109F" w:rsidP="00A21DF9">
            <w:pPr>
              <w:rPr>
                <w:rFonts w:cstheme="minorHAnsi"/>
                <w:szCs w:val="22"/>
              </w:rPr>
            </w:pPr>
            <w:r>
              <w:rPr>
                <w:rFonts w:cstheme="minorHAnsi"/>
                <w:szCs w:val="22"/>
              </w:rPr>
              <w:t>Updated to reflect most recent DEQ SOPs</w:t>
            </w:r>
          </w:p>
        </w:tc>
      </w:tr>
      <w:tr w:rsidR="008F0FAB" w:rsidRPr="008F0FAB" w14:paraId="7B22D30B" w14:textId="77777777" w:rsidTr="0054109F">
        <w:tc>
          <w:tcPr>
            <w:tcW w:w="1094" w:type="dxa"/>
          </w:tcPr>
          <w:p w14:paraId="6B4FA452" w14:textId="77777777" w:rsidR="008F0FAB" w:rsidRPr="00AD4A46" w:rsidRDefault="008F0FAB" w:rsidP="00A21DF9">
            <w:pPr>
              <w:rPr>
                <w:rFonts w:cstheme="minorHAnsi"/>
              </w:rPr>
            </w:pPr>
          </w:p>
        </w:tc>
        <w:tc>
          <w:tcPr>
            <w:tcW w:w="1871" w:type="dxa"/>
          </w:tcPr>
          <w:p w14:paraId="695FBD52" w14:textId="77777777" w:rsidR="008F0FAB" w:rsidRPr="00AD4A46" w:rsidRDefault="008F0FAB" w:rsidP="00A21DF9">
            <w:pPr>
              <w:rPr>
                <w:rFonts w:cstheme="minorHAnsi"/>
              </w:rPr>
            </w:pPr>
          </w:p>
        </w:tc>
        <w:tc>
          <w:tcPr>
            <w:tcW w:w="1452" w:type="dxa"/>
          </w:tcPr>
          <w:p w14:paraId="18EEE369" w14:textId="77777777" w:rsidR="008F0FAB" w:rsidRPr="00AD4A46" w:rsidRDefault="008F0FAB" w:rsidP="00A21DF9">
            <w:pPr>
              <w:rPr>
                <w:rFonts w:cstheme="minorHAnsi"/>
              </w:rPr>
            </w:pPr>
          </w:p>
        </w:tc>
        <w:tc>
          <w:tcPr>
            <w:tcW w:w="4933" w:type="dxa"/>
          </w:tcPr>
          <w:p w14:paraId="1F96E6D9" w14:textId="77777777" w:rsidR="008F0FAB" w:rsidRPr="00AD4A46" w:rsidRDefault="008F0FAB" w:rsidP="00A21DF9">
            <w:pPr>
              <w:rPr>
                <w:rFonts w:cstheme="minorHAnsi"/>
              </w:rPr>
            </w:pPr>
          </w:p>
        </w:tc>
      </w:tr>
      <w:tr w:rsidR="008F0FAB" w:rsidRPr="008F0FAB" w14:paraId="563F5667" w14:textId="77777777" w:rsidTr="0054109F">
        <w:tc>
          <w:tcPr>
            <w:tcW w:w="1094" w:type="dxa"/>
          </w:tcPr>
          <w:p w14:paraId="02074064" w14:textId="77777777" w:rsidR="008F0FAB" w:rsidRPr="00AD4A46" w:rsidRDefault="008F0FAB" w:rsidP="00A21DF9">
            <w:pPr>
              <w:rPr>
                <w:rFonts w:cstheme="minorHAnsi"/>
              </w:rPr>
            </w:pPr>
          </w:p>
        </w:tc>
        <w:tc>
          <w:tcPr>
            <w:tcW w:w="1871" w:type="dxa"/>
          </w:tcPr>
          <w:p w14:paraId="6B3DE550" w14:textId="77777777" w:rsidR="008F0FAB" w:rsidRPr="00AD4A46" w:rsidRDefault="008F0FAB" w:rsidP="00A21DF9">
            <w:pPr>
              <w:rPr>
                <w:rFonts w:cstheme="minorHAnsi"/>
              </w:rPr>
            </w:pPr>
          </w:p>
        </w:tc>
        <w:tc>
          <w:tcPr>
            <w:tcW w:w="1452" w:type="dxa"/>
          </w:tcPr>
          <w:p w14:paraId="4093159E" w14:textId="77777777" w:rsidR="008F0FAB" w:rsidRPr="00AD4A46" w:rsidRDefault="008F0FAB" w:rsidP="00A21DF9">
            <w:pPr>
              <w:rPr>
                <w:rFonts w:cstheme="minorHAnsi"/>
              </w:rPr>
            </w:pPr>
          </w:p>
        </w:tc>
        <w:tc>
          <w:tcPr>
            <w:tcW w:w="4933" w:type="dxa"/>
          </w:tcPr>
          <w:p w14:paraId="65B11A00" w14:textId="77777777" w:rsidR="008F0FAB" w:rsidRPr="00AD4A46" w:rsidRDefault="008F0FAB" w:rsidP="00A21DF9">
            <w:pPr>
              <w:rPr>
                <w:rFonts w:cstheme="minorHAnsi"/>
              </w:rPr>
            </w:pPr>
          </w:p>
        </w:tc>
      </w:tr>
    </w:tbl>
    <w:p w14:paraId="78231FC1" w14:textId="56E2968B" w:rsidR="002E1C65" w:rsidRDefault="002E1C65" w:rsidP="002E1C65">
      <w:pPr>
        <w:sectPr w:rsidR="002E1C65" w:rsidSect="002E1C65">
          <w:pgSz w:w="12240" w:h="15840"/>
          <w:pgMar w:top="1480" w:right="1300" w:bottom="1100" w:left="1340" w:header="720" w:footer="914" w:gutter="0"/>
          <w:pgNumType w:start="1"/>
          <w:cols w:space="720"/>
          <w:docGrid w:linePitch="272"/>
        </w:sectPr>
      </w:pPr>
    </w:p>
    <w:p w14:paraId="5F30B409" w14:textId="50AC6806" w:rsidR="00CA3B6B" w:rsidRDefault="00385CA0" w:rsidP="00920FC9">
      <w:pPr>
        <w:pStyle w:val="Heading1"/>
      </w:pPr>
      <w:bookmarkStart w:id="6" w:name="_Toc109055201"/>
      <w:r>
        <w:lastRenderedPageBreak/>
        <w:t xml:space="preserve">1.0 </w:t>
      </w:r>
      <w:r w:rsidR="00CA3B6B">
        <w:t>INTRODUCTION</w:t>
      </w:r>
      <w:bookmarkStart w:id="7" w:name="_Toc218694534"/>
      <w:bookmarkEnd w:id="4"/>
      <w:bookmarkEnd w:id="6"/>
    </w:p>
    <w:p w14:paraId="03ECCB5D" w14:textId="77090354" w:rsidR="00E22243" w:rsidRDefault="00CA3B6B" w:rsidP="007670FB">
      <w:pPr>
        <w:pStyle w:val="Heading2"/>
      </w:pPr>
      <w:bookmarkStart w:id="8" w:name="_Toc109055202"/>
      <w:r>
        <w:t xml:space="preserve">1.1 </w:t>
      </w:r>
      <w:r w:rsidR="00E22243">
        <w:t>Project Overview</w:t>
      </w:r>
      <w:bookmarkEnd w:id="8"/>
    </w:p>
    <w:p w14:paraId="79D64090" w14:textId="2C46B7F9" w:rsidR="00A1653C" w:rsidRPr="00A1653C" w:rsidRDefault="003C69C1" w:rsidP="00A1653C">
      <w:pPr>
        <w:rPr>
          <w:rFonts w:cstheme="minorHAnsi"/>
        </w:rPr>
      </w:pPr>
      <w:r>
        <w:rPr>
          <w:spacing w:val="-5"/>
          <w:szCs w:val="22"/>
        </w:rPr>
        <w:t xml:space="preserve">Water quality monitoring has been conducted on Little Bitterroot Lake by Water &amp; Environmental Technologies (WET) and </w:t>
      </w:r>
      <w:r>
        <w:rPr>
          <w:szCs w:val="22"/>
        </w:rPr>
        <w:t xml:space="preserve">Little </w:t>
      </w:r>
      <w:r>
        <w:rPr>
          <w:spacing w:val="-6"/>
          <w:szCs w:val="22"/>
        </w:rPr>
        <w:t xml:space="preserve">Bitterroot </w:t>
      </w:r>
      <w:r>
        <w:rPr>
          <w:szCs w:val="22"/>
        </w:rPr>
        <w:t>Lake Association (</w:t>
      </w:r>
      <w:r>
        <w:rPr>
          <w:spacing w:val="-5"/>
          <w:szCs w:val="22"/>
        </w:rPr>
        <w:t xml:space="preserve">LBLA) since 1999. Monitoring is conducted to evaluate spatial and temporal trends in nutrient concentrations, to quantify algae production, and to evaluate specific water quality issues as they emerge. Data are used to educate LBLA members and the neighboring community about the status of water quality on the lake, and to help educate lake residents about best management practices that can reduce nutrient or sediment contributions to the lake.  Furthermore, streams downstream of Little Bitterroot Lake have been listed for impairments due to sedimentation and nutrients, including the Little Bitterroot River and the Flathead River. Data collected during this monitoring program fits into larger watershed scale planning by collecting data that may serve as source assessment or target attainment for streams with impacts to water quality.  </w:t>
      </w:r>
      <w:r w:rsidR="00A1653C" w:rsidRPr="00A1653C">
        <w:rPr>
          <w:rFonts w:cstheme="minorHAnsi"/>
        </w:rPr>
        <w:t xml:space="preserve">A budget table for laboratory analytical costs is included in </w:t>
      </w:r>
      <w:r w:rsidR="00A1653C" w:rsidRPr="00A1653C">
        <w:rPr>
          <w:rFonts w:cstheme="minorHAnsi"/>
          <w:b/>
        </w:rPr>
        <w:t>Appendix A</w:t>
      </w:r>
      <w:r w:rsidR="00A1653C" w:rsidRPr="00A1653C">
        <w:rPr>
          <w:rFonts w:cstheme="minorHAnsi"/>
        </w:rPr>
        <w:t xml:space="preserve">. </w:t>
      </w:r>
    </w:p>
    <w:p w14:paraId="099971AB" w14:textId="1BDCDBD5" w:rsidR="00804E31" w:rsidRPr="00CA3B6B" w:rsidRDefault="00E22243" w:rsidP="007670FB">
      <w:pPr>
        <w:pStyle w:val="Heading2"/>
      </w:pPr>
      <w:bookmarkStart w:id="9" w:name="_Toc109055203"/>
      <w:r>
        <w:t xml:space="preserve">1.2 </w:t>
      </w:r>
      <w:r w:rsidR="00CA3B6B">
        <w:t>P</w:t>
      </w:r>
      <w:r w:rsidR="00997346" w:rsidRPr="00CA3B6B">
        <w:t xml:space="preserve">roject Area </w:t>
      </w:r>
      <w:bookmarkEnd w:id="7"/>
      <w:r w:rsidR="00997346" w:rsidRPr="00CA3B6B">
        <w:t>Overview</w:t>
      </w:r>
      <w:bookmarkEnd w:id="9"/>
    </w:p>
    <w:p w14:paraId="7C371A8F" w14:textId="792F3212" w:rsidR="003C69C1" w:rsidRDefault="003C69C1" w:rsidP="003C69C1">
      <w:pPr>
        <w:spacing w:after="60"/>
        <w:rPr>
          <w:rFonts w:cstheme="minorHAnsi"/>
          <w:szCs w:val="22"/>
        </w:rPr>
      </w:pPr>
      <w:bookmarkStart w:id="10" w:name="_Toc218694536"/>
      <w:bookmarkStart w:id="11" w:name="_Toc67755737"/>
      <w:bookmarkEnd w:id="2"/>
      <w:r>
        <w:rPr>
          <w:rFonts w:cstheme="minorHAnsi"/>
          <w:szCs w:val="22"/>
        </w:rPr>
        <w:t>Sampling will be conducted on Little Bitterroot Lake, its primary tributary stream (</w:t>
      </w:r>
      <w:proofErr w:type="spellStart"/>
      <w:r>
        <w:rPr>
          <w:rFonts w:cstheme="minorHAnsi"/>
          <w:szCs w:val="22"/>
        </w:rPr>
        <w:t>Herrig</w:t>
      </w:r>
      <w:proofErr w:type="spellEnd"/>
      <w:r>
        <w:rPr>
          <w:rFonts w:cstheme="minorHAnsi"/>
          <w:szCs w:val="22"/>
        </w:rPr>
        <w:t xml:space="preserve"> Creek), and its outlet stream (Little Bitterroot River), for a total of 15 sites in this study. 1</w:t>
      </w:r>
      <w:r w:rsidR="00094526">
        <w:rPr>
          <w:rFonts w:cstheme="minorHAnsi"/>
          <w:szCs w:val="22"/>
        </w:rPr>
        <w:t>7</w:t>
      </w:r>
      <w:r>
        <w:rPr>
          <w:rFonts w:cstheme="minorHAnsi"/>
          <w:szCs w:val="22"/>
        </w:rPr>
        <w:t xml:space="preserve"> samples sites will be located on Little Bitterroot Lake, including 7 fixed-location sites spatially distributed around the lake, </w:t>
      </w:r>
      <w:r w:rsidR="00094526">
        <w:rPr>
          <w:rFonts w:cstheme="minorHAnsi"/>
          <w:szCs w:val="22"/>
        </w:rPr>
        <w:t>8</w:t>
      </w:r>
      <w:r>
        <w:rPr>
          <w:rFonts w:cstheme="minorHAnsi"/>
          <w:szCs w:val="22"/>
        </w:rPr>
        <w:t xml:space="preserve"> near-shore locations to evaluate effects of development, and 2 locations from depth collected at the lake center. </w:t>
      </w:r>
      <w:proofErr w:type="spellStart"/>
      <w:r>
        <w:rPr>
          <w:rFonts w:cstheme="minorHAnsi"/>
          <w:szCs w:val="22"/>
        </w:rPr>
        <w:t>Herrig</w:t>
      </w:r>
      <w:proofErr w:type="spellEnd"/>
      <w:r>
        <w:rPr>
          <w:rFonts w:cstheme="minorHAnsi"/>
          <w:szCs w:val="22"/>
        </w:rPr>
        <w:t xml:space="preserve"> Creek, the inlet stream, will be sampled near its mouth, and Little Bitterroot River (the outlet stream) will be sampled just downstream of the outlet from Little Bitterroot Lake (</w:t>
      </w:r>
      <w:r>
        <w:rPr>
          <w:rFonts w:cstheme="minorHAnsi"/>
          <w:b/>
          <w:szCs w:val="22"/>
        </w:rPr>
        <w:t>Figure 1</w:t>
      </w:r>
      <w:r>
        <w:rPr>
          <w:rFonts w:cstheme="minorHAnsi"/>
          <w:szCs w:val="22"/>
        </w:rPr>
        <w:t xml:space="preserve">). </w:t>
      </w:r>
    </w:p>
    <w:p w14:paraId="6902DC7A" w14:textId="77777777" w:rsidR="003C69C1" w:rsidRDefault="003C69C1" w:rsidP="003C69C1">
      <w:pPr>
        <w:spacing w:after="60"/>
        <w:rPr>
          <w:rFonts w:cstheme="minorHAnsi"/>
          <w:szCs w:val="22"/>
        </w:rPr>
      </w:pPr>
    </w:p>
    <w:p w14:paraId="2DD13054" w14:textId="3EB1F189" w:rsidR="003C69C1" w:rsidRDefault="003C69C1" w:rsidP="003C69C1">
      <w:pPr>
        <w:rPr>
          <w:szCs w:val="22"/>
        </w:rPr>
      </w:pPr>
      <w:r>
        <w:rPr>
          <w:szCs w:val="22"/>
        </w:rPr>
        <w:t xml:space="preserve">Little </w:t>
      </w:r>
      <w:r>
        <w:rPr>
          <w:spacing w:val="-6"/>
          <w:szCs w:val="22"/>
        </w:rPr>
        <w:t xml:space="preserve">Bitterroot </w:t>
      </w:r>
      <w:r>
        <w:rPr>
          <w:szCs w:val="22"/>
        </w:rPr>
        <w:t xml:space="preserve">Lake </w:t>
      </w:r>
      <w:r>
        <w:rPr>
          <w:spacing w:val="-3"/>
          <w:szCs w:val="22"/>
        </w:rPr>
        <w:t xml:space="preserve">is </w:t>
      </w:r>
      <w:r>
        <w:rPr>
          <w:szCs w:val="22"/>
        </w:rPr>
        <w:t xml:space="preserve">the </w:t>
      </w:r>
      <w:r>
        <w:rPr>
          <w:spacing w:val="-6"/>
          <w:szCs w:val="22"/>
        </w:rPr>
        <w:t xml:space="preserve">headwaters </w:t>
      </w:r>
      <w:r>
        <w:rPr>
          <w:szCs w:val="22"/>
        </w:rPr>
        <w:t xml:space="preserve">of the Little </w:t>
      </w:r>
      <w:r>
        <w:rPr>
          <w:spacing w:val="-6"/>
          <w:szCs w:val="22"/>
        </w:rPr>
        <w:t xml:space="preserve">Bitterroot </w:t>
      </w:r>
      <w:r>
        <w:rPr>
          <w:szCs w:val="22"/>
        </w:rPr>
        <w:t xml:space="preserve">River </w:t>
      </w:r>
      <w:r>
        <w:rPr>
          <w:spacing w:val="-4"/>
          <w:szCs w:val="22"/>
        </w:rPr>
        <w:t xml:space="preserve">and </w:t>
      </w:r>
      <w:r>
        <w:rPr>
          <w:spacing w:val="-3"/>
          <w:szCs w:val="22"/>
        </w:rPr>
        <w:t xml:space="preserve">is </w:t>
      </w:r>
      <w:r>
        <w:rPr>
          <w:szCs w:val="22"/>
        </w:rPr>
        <w:t xml:space="preserve">located </w:t>
      </w:r>
      <w:r>
        <w:rPr>
          <w:spacing w:val="-6"/>
          <w:szCs w:val="22"/>
        </w:rPr>
        <w:t xml:space="preserve">southwest </w:t>
      </w:r>
      <w:r>
        <w:rPr>
          <w:szCs w:val="22"/>
        </w:rPr>
        <w:t xml:space="preserve">of Kalispell near </w:t>
      </w:r>
      <w:r>
        <w:rPr>
          <w:spacing w:val="-4"/>
          <w:szCs w:val="22"/>
        </w:rPr>
        <w:t xml:space="preserve">the </w:t>
      </w:r>
      <w:r>
        <w:rPr>
          <w:spacing w:val="-6"/>
          <w:szCs w:val="22"/>
        </w:rPr>
        <w:t xml:space="preserve">community </w:t>
      </w:r>
      <w:r>
        <w:rPr>
          <w:szCs w:val="22"/>
        </w:rPr>
        <w:t>of Marion (</w:t>
      </w:r>
      <w:r>
        <w:rPr>
          <w:b/>
          <w:szCs w:val="22"/>
        </w:rPr>
        <w:t>see Figure 1</w:t>
      </w:r>
      <w:r>
        <w:rPr>
          <w:spacing w:val="-4"/>
          <w:szCs w:val="22"/>
        </w:rPr>
        <w:t xml:space="preserve">). </w:t>
      </w:r>
      <w:r>
        <w:rPr>
          <w:szCs w:val="22"/>
        </w:rPr>
        <w:t xml:space="preserve">The lake has a surface area of 11.8 </w:t>
      </w:r>
      <w:r>
        <w:rPr>
          <w:spacing w:val="-4"/>
          <w:szCs w:val="22"/>
        </w:rPr>
        <w:t>km</w:t>
      </w:r>
      <w:r>
        <w:rPr>
          <w:spacing w:val="-4"/>
          <w:position w:val="8"/>
          <w:sz w:val="16"/>
          <w:szCs w:val="16"/>
        </w:rPr>
        <w:t>2</w:t>
      </w:r>
      <w:r>
        <w:rPr>
          <w:spacing w:val="-4"/>
          <w:position w:val="8"/>
          <w:szCs w:val="22"/>
        </w:rPr>
        <w:t xml:space="preserve"> </w:t>
      </w:r>
      <w:r>
        <w:rPr>
          <w:szCs w:val="22"/>
        </w:rPr>
        <w:t xml:space="preserve">(4.6 </w:t>
      </w:r>
      <w:r>
        <w:rPr>
          <w:spacing w:val="-4"/>
          <w:szCs w:val="22"/>
        </w:rPr>
        <w:t>mi</w:t>
      </w:r>
      <w:r>
        <w:rPr>
          <w:spacing w:val="-4"/>
          <w:position w:val="8"/>
          <w:sz w:val="16"/>
          <w:szCs w:val="16"/>
        </w:rPr>
        <w:t>2</w:t>
      </w:r>
      <w:r>
        <w:rPr>
          <w:spacing w:val="-4"/>
          <w:szCs w:val="22"/>
        </w:rPr>
        <w:t xml:space="preserve">) and </w:t>
      </w:r>
      <w:r>
        <w:rPr>
          <w:szCs w:val="22"/>
        </w:rPr>
        <w:t xml:space="preserve">volume of 4.07 x </w:t>
      </w:r>
      <w:r>
        <w:rPr>
          <w:spacing w:val="-3"/>
          <w:szCs w:val="22"/>
        </w:rPr>
        <w:t>10</w:t>
      </w:r>
      <w:r>
        <w:rPr>
          <w:spacing w:val="-3"/>
          <w:position w:val="8"/>
          <w:sz w:val="16"/>
          <w:szCs w:val="16"/>
        </w:rPr>
        <w:t>8</w:t>
      </w:r>
      <w:r>
        <w:rPr>
          <w:spacing w:val="-3"/>
          <w:position w:val="8"/>
          <w:szCs w:val="22"/>
        </w:rPr>
        <w:t xml:space="preserve"> </w:t>
      </w:r>
      <w:r>
        <w:rPr>
          <w:spacing w:val="-4"/>
          <w:szCs w:val="22"/>
        </w:rPr>
        <w:t>m</w:t>
      </w:r>
      <w:proofErr w:type="gramStart"/>
      <w:r>
        <w:rPr>
          <w:spacing w:val="-4"/>
          <w:position w:val="8"/>
          <w:sz w:val="16"/>
          <w:szCs w:val="16"/>
        </w:rPr>
        <w:t>3</w:t>
      </w:r>
      <w:r w:rsidR="002119F6">
        <w:rPr>
          <w:spacing w:val="-4"/>
          <w:szCs w:val="22"/>
        </w:rPr>
        <w:t>.T</w:t>
      </w:r>
      <w:r w:rsidR="00800C01">
        <w:rPr>
          <w:spacing w:val="-4"/>
          <w:szCs w:val="22"/>
        </w:rPr>
        <w:t>he</w:t>
      </w:r>
      <w:proofErr w:type="gramEnd"/>
      <w:r w:rsidR="00800C01">
        <w:rPr>
          <w:spacing w:val="-4"/>
          <w:szCs w:val="22"/>
        </w:rPr>
        <w:t xml:space="preserve"> average depth of Little Bitterroot Lake is 35 m (114 ft) and the maximum depth is approximately 80 m (260 ft). </w:t>
      </w:r>
      <w:r>
        <w:rPr>
          <w:szCs w:val="22"/>
        </w:rPr>
        <w:t xml:space="preserve">The </w:t>
      </w:r>
      <w:r>
        <w:rPr>
          <w:spacing w:val="-4"/>
          <w:szCs w:val="22"/>
        </w:rPr>
        <w:t xml:space="preserve">lake </w:t>
      </w:r>
      <w:r>
        <w:rPr>
          <w:szCs w:val="22"/>
        </w:rPr>
        <w:t xml:space="preserve">outlet </w:t>
      </w:r>
      <w:r>
        <w:rPr>
          <w:spacing w:val="-3"/>
          <w:szCs w:val="22"/>
        </w:rPr>
        <w:t xml:space="preserve">is </w:t>
      </w:r>
      <w:r>
        <w:rPr>
          <w:spacing w:val="-6"/>
          <w:szCs w:val="22"/>
        </w:rPr>
        <w:t xml:space="preserve">controlled </w:t>
      </w:r>
      <w:r>
        <w:rPr>
          <w:spacing w:val="-3"/>
          <w:szCs w:val="22"/>
        </w:rPr>
        <w:t xml:space="preserve">by </w:t>
      </w:r>
      <w:r>
        <w:rPr>
          <w:spacing w:val="-4"/>
          <w:szCs w:val="22"/>
        </w:rPr>
        <w:t xml:space="preserve">an </w:t>
      </w:r>
      <w:r>
        <w:rPr>
          <w:szCs w:val="22"/>
        </w:rPr>
        <w:t xml:space="preserve">earthen dam built </w:t>
      </w:r>
      <w:r>
        <w:rPr>
          <w:spacing w:val="-3"/>
          <w:szCs w:val="22"/>
        </w:rPr>
        <w:t xml:space="preserve">in </w:t>
      </w:r>
      <w:r>
        <w:rPr>
          <w:szCs w:val="22"/>
        </w:rPr>
        <w:t xml:space="preserve">1918, which </w:t>
      </w:r>
      <w:r>
        <w:rPr>
          <w:spacing w:val="-3"/>
          <w:szCs w:val="22"/>
        </w:rPr>
        <w:t xml:space="preserve">is </w:t>
      </w:r>
      <w:r>
        <w:rPr>
          <w:szCs w:val="22"/>
        </w:rPr>
        <w:t xml:space="preserve">managed </w:t>
      </w:r>
      <w:r>
        <w:rPr>
          <w:spacing w:val="-3"/>
          <w:szCs w:val="22"/>
        </w:rPr>
        <w:t xml:space="preserve">by </w:t>
      </w:r>
      <w:r>
        <w:rPr>
          <w:spacing w:val="-4"/>
          <w:szCs w:val="22"/>
        </w:rPr>
        <w:t xml:space="preserve">the </w:t>
      </w:r>
      <w:r>
        <w:rPr>
          <w:szCs w:val="22"/>
        </w:rPr>
        <w:t xml:space="preserve">Flathead Irrigation </w:t>
      </w:r>
      <w:r>
        <w:rPr>
          <w:spacing w:val="-6"/>
          <w:szCs w:val="22"/>
        </w:rPr>
        <w:t xml:space="preserve">Project. </w:t>
      </w:r>
      <w:proofErr w:type="spellStart"/>
      <w:r>
        <w:rPr>
          <w:szCs w:val="22"/>
        </w:rPr>
        <w:t>Herrig</w:t>
      </w:r>
      <w:proofErr w:type="spellEnd"/>
      <w:r>
        <w:rPr>
          <w:szCs w:val="22"/>
        </w:rPr>
        <w:t xml:space="preserve"> Creek </w:t>
      </w:r>
      <w:r>
        <w:rPr>
          <w:spacing w:val="-3"/>
          <w:szCs w:val="22"/>
        </w:rPr>
        <w:t xml:space="preserve">is </w:t>
      </w:r>
      <w:r>
        <w:rPr>
          <w:spacing w:val="-4"/>
          <w:szCs w:val="22"/>
        </w:rPr>
        <w:t xml:space="preserve">the only </w:t>
      </w:r>
      <w:r>
        <w:rPr>
          <w:spacing w:val="-6"/>
          <w:szCs w:val="22"/>
        </w:rPr>
        <w:t xml:space="preserve">perennial stream flowing </w:t>
      </w:r>
      <w:r>
        <w:rPr>
          <w:szCs w:val="22"/>
        </w:rPr>
        <w:t xml:space="preserve">into </w:t>
      </w:r>
      <w:r>
        <w:rPr>
          <w:spacing w:val="-4"/>
          <w:szCs w:val="22"/>
        </w:rPr>
        <w:t xml:space="preserve">the </w:t>
      </w:r>
      <w:r>
        <w:rPr>
          <w:szCs w:val="22"/>
        </w:rPr>
        <w:t xml:space="preserve">lake, although there </w:t>
      </w:r>
      <w:r>
        <w:rPr>
          <w:spacing w:val="-4"/>
          <w:szCs w:val="22"/>
        </w:rPr>
        <w:t xml:space="preserve">are </w:t>
      </w:r>
      <w:r>
        <w:rPr>
          <w:spacing w:val="-6"/>
          <w:szCs w:val="22"/>
        </w:rPr>
        <w:t xml:space="preserve">approximately </w:t>
      </w:r>
      <w:r>
        <w:rPr>
          <w:szCs w:val="22"/>
        </w:rPr>
        <w:t xml:space="preserve">seven </w:t>
      </w:r>
      <w:r>
        <w:rPr>
          <w:spacing w:val="-6"/>
          <w:szCs w:val="22"/>
        </w:rPr>
        <w:t xml:space="preserve">intermittent </w:t>
      </w:r>
      <w:r>
        <w:rPr>
          <w:szCs w:val="22"/>
        </w:rPr>
        <w:t xml:space="preserve">or ephemeral streams </w:t>
      </w:r>
      <w:r>
        <w:rPr>
          <w:spacing w:val="-6"/>
          <w:szCs w:val="22"/>
        </w:rPr>
        <w:t xml:space="preserve">contributing seasonally </w:t>
      </w:r>
      <w:r>
        <w:rPr>
          <w:spacing w:val="-3"/>
          <w:szCs w:val="22"/>
        </w:rPr>
        <w:t xml:space="preserve">to </w:t>
      </w:r>
      <w:r>
        <w:rPr>
          <w:spacing w:val="-4"/>
          <w:szCs w:val="22"/>
        </w:rPr>
        <w:t xml:space="preserve">the </w:t>
      </w:r>
      <w:r>
        <w:rPr>
          <w:szCs w:val="22"/>
        </w:rPr>
        <w:t xml:space="preserve">lake. </w:t>
      </w:r>
      <w:r>
        <w:rPr>
          <w:spacing w:val="-6"/>
          <w:szCs w:val="22"/>
        </w:rPr>
        <w:t xml:space="preserve">Groundwater </w:t>
      </w:r>
      <w:r>
        <w:rPr>
          <w:spacing w:val="-4"/>
          <w:szCs w:val="22"/>
        </w:rPr>
        <w:t xml:space="preserve">also </w:t>
      </w:r>
      <w:r>
        <w:rPr>
          <w:spacing w:val="-6"/>
          <w:szCs w:val="22"/>
        </w:rPr>
        <w:t xml:space="preserve">contributes </w:t>
      </w:r>
      <w:r>
        <w:rPr>
          <w:szCs w:val="22"/>
        </w:rPr>
        <w:t xml:space="preserve">a </w:t>
      </w:r>
      <w:r>
        <w:rPr>
          <w:spacing w:val="-6"/>
          <w:szCs w:val="22"/>
        </w:rPr>
        <w:t xml:space="preserve">substantial </w:t>
      </w:r>
      <w:r>
        <w:rPr>
          <w:szCs w:val="22"/>
        </w:rPr>
        <w:t xml:space="preserve">portion of water </w:t>
      </w:r>
      <w:r>
        <w:rPr>
          <w:spacing w:val="-4"/>
          <w:szCs w:val="22"/>
        </w:rPr>
        <w:t xml:space="preserve">to </w:t>
      </w:r>
      <w:r>
        <w:rPr>
          <w:szCs w:val="22"/>
        </w:rPr>
        <w:t xml:space="preserve">Little </w:t>
      </w:r>
      <w:r>
        <w:rPr>
          <w:spacing w:val="-6"/>
          <w:szCs w:val="22"/>
        </w:rPr>
        <w:t xml:space="preserve">Bitterroot </w:t>
      </w:r>
      <w:r>
        <w:rPr>
          <w:szCs w:val="22"/>
        </w:rPr>
        <w:t xml:space="preserve">Lake, </w:t>
      </w:r>
      <w:r>
        <w:rPr>
          <w:spacing w:val="-6"/>
          <w:szCs w:val="22"/>
        </w:rPr>
        <w:t xml:space="preserve">especially </w:t>
      </w:r>
      <w:r>
        <w:rPr>
          <w:szCs w:val="22"/>
        </w:rPr>
        <w:t xml:space="preserve">from </w:t>
      </w:r>
      <w:r>
        <w:rPr>
          <w:spacing w:val="-4"/>
          <w:szCs w:val="22"/>
        </w:rPr>
        <w:t xml:space="preserve">the </w:t>
      </w:r>
      <w:r>
        <w:rPr>
          <w:spacing w:val="-6"/>
          <w:szCs w:val="22"/>
        </w:rPr>
        <w:t xml:space="preserve">mountains </w:t>
      </w:r>
      <w:r>
        <w:rPr>
          <w:szCs w:val="22"/>
        </w:rPr>
        <w:t xml:space="preserve">west </w:t>
      </w:r>
      <w:r>
        <w:rPr>
          <w:spacing w:val="-4"/>
          <w:szCs w:val="22"/>
        </w:rPr>
        <w:t xml:space="preserve">and </w:t>
      </w:r>
      <w:r>
        <w:rPr>
          <w:spacing w:val="-6"/>
          <w:szCs w:val="22"/>
        </w:rPr>
        <w:t xml:space="preserve">northeast </w:t>
      </w:r>
      <w:r>
        <w:rPr>
          <w:szCs w:val="22"/>
        </w:rPr>
        <w:t xml:space="preserve">of </w:t>
      </w:r>
      <w:r>
        <w:rPr>
          <w:spacing w:val="-4"/>
          <w:szCs w:val="22"/>
        </w:rPr>
        <w:t xml:space="preserve">the </w:t>
      </w:r>
      <w:r>
        <w:rPr>
          <w:szCs w:val="22"/>
        </w:rPr>
        <w:t xml:space="preserve">lake. Local uses of </w:t>
      </w:r>
      <w:r>
        <w:rPr>
          <w:spacing w:val="-4"/>
          <w:szCs w:val="22"/>
        </w:rPr>
        <w:t xml:space="preserve">the </w:t>
      </w:r>
      <w:r>
        <w:rPr>
          <w:szCs w:val="22"/>
        </w:rPr>
        <w:t xml:space="preserve">lake </w:t>
      </w:r>
      <w:r>
        <w:rPr>
          <w:spacing w:val="-6"/>
          <w:szCs w:val="22"/>
        </w:rPr>
        <w:t xml:space="preserve">include </w:t>
      </w:r>
      <w:r>
        <w:rPr>
          <w:szCs w:val="22"/>
        </w:rPr>
        <w:t xml:space="preserve">water supply </w:t>
      </w:r>
      <w:r>
        <w:rPr>
          <w:spacing w:val="-3"/>
          <w:szCs w:val="22"/>
        </w:rPr>
        <w:t xml:space="preserve">for </w:t>
      </w:r>
      <w:r>
        <w:rPr>
          <w:spacing w:val="-6"/>
          <w:szCs w:val="22"/>
        </w:rPr>
        <w:t xml:space="preserve">domestic </w:t>
      </w:r>
      <w:r>
        <w:rPr>
          <w:szCs w:val="22"/>
        </w:rPr>
        <w:t xml:space="preserve">use, </w:t>
      </w:r>
      <w:r>
        <w:rPr>
          <w:spacing w:val="-6"/>
          <w:szCs w:val="22"/>
        </w:rPr>
        <w:t xml:space="preserve">irrigation, </w:t>
      </w:r>
      <w:proofErr w:type="gramStart"/>
      <w:r>
        <w:rPr>
          <w:szCs w:val="22"/>
        </w:rPr>
        <w:t>fishing</w:t>
      </w:r>
      <w:proofErr w:type="gramEnd"/>
      <w:r>
        <w:rPr>
          <w:szCs w:val="22"/>
        </w:rPr>
        <w:t xml:space="preserve"> </w:t>
      </w:r>
      <w:r>
        <w:rPr>
          <w:spacing w:val="-4"/>
          <w:szCs w:val="22"/>
        </w:rPr>
        <w:t xml:space="preserve">and </w:t>
      </w:r>
      <w:r>
        <w:rPr>
          <w:spacing w:val="-6"/>
          <w:szCs w:val="22"/>
        </w:rPr>
        <w:t xml:space="preserve">recreation. </w:t>
      </w:r>
      <w:r>
        <w:rPr>
          <w:szCs w:val="22"/>
        </w:rPr>
        <w:t xml:space="preserve">Local </w:t>
      </w:r>
      <w:r>
        <w:rPr>
          <w:spacing w:val="-6"/>
          <w:szCs w:val="22"/>
        </w:rPr>
        <w:t xml:space="preserve">geology </w:t>
      </w:r>
      <w:r>
        <w:rPr>
          <w:spacing w:val="-3"/>
          <w:szCs w:val="22"/>
        </w:rPr>
        <w:t xml:space="preserve">is </w:t>
      </w:r>
      <w:r>
        <w:rPr>
          <w:spacing w:val="-6"/>
          <w:szCs w:val="22"/>
        </w:rPr>
        <w:t xml:space="preserve">primarily Protozoic-aged sedimentary </w:t>
      </w:r>
      <w:r>
        <w:rPr>
          <w:szCs w:val="22"/>
        </w:rPr>
        <w:t xml:space="preserve">rocks of </w:t>
      </w:r>
      <w:r>
        <w:rPr>
          <w:spacing w:val="-4"/>
          <w:szCs w:val="22"/>
        </w:rPr>
        <w:t>the Belt</w:t>
      </w:r>
      <w:r>
        <w:rPr>
          <w:szCs w:val="22"/>
        </w:rPr>
        <w:t xml:space="preserve"> group. The surrounding watershed is primarily forested land (both private and federally owned); however, t</w:t>
      </w:r>
      <w:r>
        <w:rPr>
          <w:spacing w:val="-4"/>
          <w:szCs w:val="22"/>
        </w:rPr>
        <w:t xml:space="preserve">he </w:t>
      </w:r>
      <w:r>
        <w:rPr>
          <w:szCs w:val="22"/>
        </w:rPr>
        <w:t xml:space="preserve">lake </w:t>
      </w:r>
      <w:r>
        <w:rPr>
          <w:spacing w:val="-3"/>
          <w:szCs w:val="22"/>
        </w:rPr>
        <w:t xml:space="preserve">is </w:t>
      </w:r>
      <w:r>
        <w:rPr>
          <w:spacing w:val="-6"/>
          <w:szCs w:val="22"/>
        </w:rPr>
        <w:t xml:space="preserve">surrounded </w:t>
      </w:r>
      <w:r>
        <w:rPr>
          <w:spacing w:val="-3"/>
          <w:szCs w:val="22"/>
        </w:rPr>
        <w:t xml:space="preserve">by </w:t>
      </w:r>
      <w:r>
        <w:rPr>
          <w:szCs w:val="22"/>
        </w:rPr>
        <w:t xml:space="preserve">homes </w:t>
      </w:r>
      <w:r>
        <w:rPr>
          <w:spacing w:val="-4"/>
          <w:szCs w:val="22"/>
        </w:rPr>
        <w:t xml:space="preserve">and </w:t>
      </w:r>
      <w:r>
        <w:rPr>
          <w:szCs w:val="22"/>
        </w:rPr>
        <w:t xml:space="preserve">roads which </w:t>
      </w:r>
      <w:r>
        <w:rPr>
          <w:spacing w:val="-6"/>
          <w:szCs w:val="22"/>
        </w:rPr>
        <w:t xml:space="preserve">potentially </w:t>
      </w:r>
      <w:r>
        <w:rPr>
          <w:szCs w:val="22"/>
        </w:rPr>
        <w:t xml:space="preserve">contribute </w:t>
      </w:r>
      <w:r>
        <w:rPr>
          <w:spacing w:val="-6"/>
          <w:szCs w:val="22"/>
        </w:rPr>
        <w:t xml:space="preserve">nutrients </w:t>
      </w:r>
      <w:r>
        <w:rPr>
          <w:szCs w:val="22"/>
        </w:rPr>
        <w:t xml:space="preserve">from </w:t>
      </w:r>
      <w:r>
        <w:rPr>
          <w:spacing w:val="-6"/>
          <w:szCs w:val="22"/>
        </w:rPr>
        <w:t xml:space="preserve">septic </w:t>
      </w:r>
      <w:r>
        <w:rPr>
          <w:szCs w:val="22"/>
        </w:rPr>
        <w:t xml:space="preserve">systems </w:t>
      </w:r>
      <w:r>
        <w:rPr>
          <w:spacing w:val="-4"/>
          <w:szCs w:val="22"/>
        </w:rPr>
        <w:t xml:space="preserve">and </w:t>
      </w:r>
      <w:r>
        <w:rPr>
          <w:szCs w:val="22"/>
        </w:rPr>
        <w:t xml:space="preserve">lawns, or </w:t>
      </w:r>
      <w:r>
        <w:rPr>
          <w:spacing w:val="-6"/>
          <w:szCs w:val="22"/>
        </w:rPr>
        <w:t xml:space="preserve">sediment </w:t>
      </w:r>
      <w:r>
        <w:rPr>
          <w:szCs w:val="22"/>
        </w:rPr>
        <w:t xml:space="preserve">from cleared areas. Logging </w:t>
      </w:r>
      <w:r>
        <w:rPr>
          <w:spacing w:val="-4"/>
          <w:szCs w:val="22"/>
        </w:rPr>
        <w:t xml:space="preserve">and </w:t>
      </w:r>
      <w:r>
        <w:rPr>
          <w:szCs w:val="22"/>
        </w:rPr>
        <w:t xml:space="preserve">slash burning occurred </w:t>
      </w:r>
      <w:r>
        <w:rPr>
          <w:spacing w:val="-3"/>
          <w:szCs w:val="22"/>
        </w:rPr>
        <w:t xml:space="preserve">in </w:t>
      </w:r>
      <w:r>
        <w:rPr>
          <w:spacing w:val="-4"/>
          <w:szCs w:val="22"/>
        </w:rPr>
        <w:t xml:space="preserve">the </w:t>
      </w:r>
      <w:r>
        <w:rPr>
          <w:spacing w:val="-6"/>
          <w:szCs w:val="22"/>
        </w:rPr>
        <w:t xml:space="preserve">watershed </w:t>
      </w:r>
      <w:r>
        <w:rPr>
          <w:szCs w:val="22"/>
        </w:rPr>
        <w:t xml:space="preserve">near </w:t>
      </w:r>
      <w:proofErr w:type="spellStart"/>
      <w:r>
        <w:rPr>
          <w:szCs w:val="22"/>
        </w:rPr>
        <w:t>Herrig</w:t>
      </w:r>
      <w:proofErr w:type="spellEnd"/>
      <w:r>
        <w:rPr>
          <w:szCs w:val="22"/>
        </w:rPr>
        <w:t xml:space="preserve"> Creek in 2016 </w:t>
      </w:r>
      <w:r>
        <w:rPr>
          <w:spacing w:val="-3"/>
          <w:szCs w:val="22"/>
        </w:rPr>
        <w:t xml:space="preserve">as </w:t>
      </w:r>
      <w:r>
        <w:rPr>
          <w:spacing w:val="-4"/>
          <w:szCs w:val="22"/>
        </w:rPr>
        <w:t xml:space="preserve">part of </w:t>
      </w:r>
      <w:r>
        <w:rPr>
          <w:szCs w:val="22"/>
        </w:rPr>
        <w:t xml:space="preserve">the Bitter </w:t>
      </w:r>
      <w:proofErr w:type="spellStart"/>
      <w:r>
        <w:rPr>
          <w:szCs w:val="22"/>
        </w:rPr>
        <w:t>Herrig</w:t>
      </w:r>
      <w:proofErr w:type="spellEnd"/>
      <w:r>
        <w:rPr>
          <w:szCs w:val="22"/>
        </w:rPr>
        <w:t xml:space="preserve"> </w:t>
      </w:r>
      <w:r>
        <w:rPr>
          <w:spacing w:val="-4"/>
          <w:szCs w:val="22"/>
        </w:rPr>
        <w:t xml:space="preserve">and </w:t>
      </w:r>
      <w:r>
        <w:rPr>
          <w:szCs w:val="22"/>
        </w:rPr>
        <w:t xml:space="preserve">Ashley </w:t>
      </w:r>
      <w:proofErr w:type="spellStart"/>
      <w:r>
        <w:rPr>
          <w:szCs w:val="22"/>
        </w:rPr>
        <w:t>Herrig</w:t>
      </w:r>
      <w:proofErr w:type="spellEnd"/>
      <w:r>
        <w:rPr>
          <w:szCs w:val="22"/>
        </w:rPr>
        <w:t xml:space="preserve"> timber sales (DNRC 2013, USFS 2016), </w:t>
      </w:r>
      <w:r>
        <w:rPr>
          <w:spacing w:val="-4"/>
          <w:szCs w:val="22"/>
        </w:rPr>
        <w:t xml:space="preserve">but </w:t>
      </w:r>
      <w:r>
        <w:rPr>
          <w:szCs w:val="22"/>
        </w:rPr>
        <w:t xml:space="preserve">large- </w:t>
      </w:r>
      <w:r>
        <w:rPr>
          <w:spacing w:val="-4"/>
          <w:szCs w:val="22"/>
        </w:rPr>
        <w:t xml:space="preserve">scale </w:t>
      </w:r>
      <w:r>
        <w:rPr>
          <w:szCs w:val="22"/>
        </w:rPr>
        <w:t xml:space="preserve">logging </w:t>
      </w:r>
      <w:r>
        <w:rPr>
          <w:spacing w:val="-3"/>
          <w:szCs w:val="22"/>
        </w:rPr>
        <w:t xml:space="preserve">is </w:t>
      </w:r>
      <w:r>
        <w:rPr>
          <w:szCs w:val="22"/>
        </w:rPr>
        <w:t xml:space="preserve">not evident </w:t>
      </w:r>
      <w:r>
        <w:rPr>
          <w:spacing w:val="-6"/>
          <w:szCs w:val="22"/>
        </w:rPr>
        <w:t xml:space="preserve">immediately surrounding </w:t>
      </w:r>
      <w:r>
        <w:rPr>
          <w:spacing w:val="-4"/>
          <w:szCs w:val="22"/>
        </w:rPr>
        <w:t xml:space="preserve">the lake </w:t>
      </w:r>
      <w:proofErr w:type="gramStart"/>
      <w:r>
        <w:rPr>
          <w:szCs w:val="22"/>
        </w:rPr>
        <w:t xml:space="preserve">with the </w:t>
      </w:r>
      <w:r>
        <w:rPr>
          <w:spacing w:val="-6"/>
          <w:szCs w:val="22"/>
        </w:rPr>
        <w:t xml:space="preserve">exception </w:t>
      </w:r>
      <w:r>
        <w:rPr>
          <w:szCs w:val="22"/>
        </w:rPr>
        <w:t>of</w:t>
      </w:r>
      <w:proofErr w:type="gramEnd"/>
      <w:r>
        <w:rPr>
          <w:szCs w:val="22"/>
        </w:rPr>
        <w:t xml:space="preserve"> small clearings </w:t>
      </w:r>
      <w:r>
        <w:rPr>
          <w:spacing w:val="-4"/>
          <w:szCs w:val="22"/>
        </w:rPr>
        <w:t xml:space="preserve">at </w:t>
      </w:r>
      <w:r>
        <w:rPr>
          <w:szCs w:val="22"/>
        </w:rPr>
        <w:t xml:space="preserve">residences. </w:t>
      </w:r>
      <w:r>
        <w:rPr>
          <w:spacing w:val="-6"/>
          <w:szCs w:val="22"/>
        </w:rPr>
        <w:t xml:space="preserve">Mechanical harvesting </w:t>
      </w:r>
      <w:r>
        <w:rPr>
          <w:szCs w:val="22"/>
        </w:rPr>
        <w:t xml:space="preserve">of aquatic </w:t>
      </w:r>
      <w:r>
        <w:rPr>
          <w:spacing w:val="-6"/>
          <w:szCs w:val="22"/>
        </w:rPr>
        <w:t>vegetation occurred in summer of 2016</w:t>
      </w:r>
      <w:r>
        <w:rPr>
          <w:szCs w:val="22"/>
        </w:rPr>
        <w:t xml:space="preserve">, although the cut material was not removed from the lake, which </w:t>
      </w:r>
      <w:r>
        <w:rPr>
          <w:spacing w:val="-3"/>
          <w:szCs w:val="22"/>
        </w:rPr>
        <w:t xml:space="preserve">may be </w:t>
      </w:r>
      <w:r>
        <w:rPr>
          <w:szCs w:val="22"/>
        </w:rPr>
        <w:t xml:space="preserve">a source of </w:t>
      </w:r>
      <w:r>
        <w:rPr>
          <w:spacing w:val="-6"/>
          <w:szCs w:val="22"/>
        </w:rPr>
        <w:t xml:space="preserve">nutrients </w:t>
      </w:r>
      <w:r>
        <w:rPr>
          <w:spacing w:val="-4"/>
          <w:szCs w:val="22"/>
        </w:rPr>
        <w:t xml:space="preserve">and </w:t>
      </w:r>
      <w:r>
        <w:rPr>
          <w:szCs w:val="22"/>
        </w:rPr>
        <w:t xml:space="preserve">organic matter. </w:t>
      </w:r>
      <w:r>
        <w:rPr>
          <w:spacing w:val="-6"/>
          <w:szCs w:val="22"/>
        </w:rPr>
        <w:t xml:space="preserve">Fluctuations </w:t>
      </w:r>
      <w:r>
        <w:rPr>
          <w:spacing w:val="-3"/>
          <w:szCs w:val="22"/>
        </w:rPr>
        <w:t xml:space="preserve">in </w:t>
      </w:r>
      <w:r>
        <w:rPr>
          <w:szCs w:val="22"/>
        </w:rPr>
        <w:t xml:space="preserve">lake water levels occur based on </w:t>
      </w:r>
      <w:r>
        <w:rPr>
          <w:spacing w:val="-6"/>
          <w:szCs w:val="22"/>
        </w:rPr>
        <w:t xml:space="preserve">snowmelt </w:t>
      </w:r>
      <w:r>
        <w:rPr>
          <w:spacing w:val="-4"/>
          <w:szCs w:val="22"/>
        </w:rPr>
        <w:t xml:space="preserve">and </w:t>
      </w:r>
      <w:r>
        <w:rPr>
          <w:spacing w:val="-6"/>
          <w:szCs w:val="22"/>
        </w:rPr>
        <w:t xml:space="preserve">precipitation </w:t>
      </w:r>
      <w:r>
        <w:rPr>
          <w:szCs w:val="22"/>
        </w:rPr>
        <w:t xml:space="preserve">or withdrawals </w:t>
      </w:r>
      <w:r>
        <w:rPr>
          <w:spacing w:val="-3"/>
          <w:szCs w:val="22"/>
        </w:rPr>
        <w:t xml:space="preserve">for </w:t>
      </w:r>
      <w:r>
        <w:rPr>
          <w:spacing w:val="-6"/>
          <w:szCs w:val="22"/>
        </w:rPr>
        <w:t xml:space="preserve">downstream </w:t>
      </w:r>
      <w:r>
        <w:rPr>
          <w:szCs w:val="22"/>
        </w:rPr>
        <w:t xml:space="preserve">water </w:t>
      </w:r>
      <w:r>
        <w:rPr>
          <w:spacing w:val="-6"/>
          <w:szCs w:val="22"/>
        </w:rPr>
        <w:t>demand.</w:t>
      </w:r>
    </w:p>
    <w:p w14:paraId="4D37D198" w14:textId="77777777" w:rsidR="003C69C1" w:rsidRDefault="003C69C1" w:rsidP="003C69C1">
      <w:pPr>
        <w:rPr>
          <w:spacing w:val="-4"/>
          <w:szCs w:val="22"/>
        </w:rPr>
      </w:pPr>
    </w:p>
    <w:p w14:paraId="71708E34" w14:textId="443835E0" w:rsidR="003C69C1" w:rsidRDefault="003C69C1" w:rsidP="003C69C1">
      <w:pPr>
        <w:rPr>
          <w:spacing w:val="-6"/>
          <w:szCs w:val="22"/>
        </w:rPr>
      </w:pPr>
      <w:r>
        <w:rPr>
          <w:spacing w:val="-4"/>
          <w:szCs w:val="22"/>
        </w:rPr>
        <w:t xml:space="preserve">The </w:t>
      </w:r>
      <w:r>
        <w:rPr>
          <w:szCs w:val="22"/>
        </w:rPr>
        <w:t xml:space="preserve">Little </w:t>
      </w:r>
      <w:r>
        <w:rPr>
          <w:spacing w:val="-6"/>
          <w:szCs w:val="22"/>
        </w:rPr>
        <w:t xml:space="preserve">Bitterroot </w:t>
      </w:r>
      <w:r>
        <w:rPr>
          <w:szCs w:val="22"/>
        </w:rPr>
        <w:t xml:space="preserve">River </w:t>
      </w:r>
      <w:r>
        <w:rPr>
          <w:spacing w:val="-6"/>
          <w:szCs w:val="22"/>
        </w:rPr>
        <w:t xml:space="preserve">downstream </w:t>
      </w:r>
      <w:r>
        <w:rPr>
          <w:szCs w:val="22"/>
        </w:rPr>
        <w:t xml:space="preserve">of Little </w:t>
      </w:r>
      <w:r>
        <w:rPr>
          <w:spacing w:val="-6"/>
          <w:szCs w:val="22"/>
        </w:rPr>
        <w:t xml:space="preserve">Bitterroot </w:t>
      </w:r>
      <w:r>
        <w:rPr>
          <w:szCs w:val="22"/>
        </w:rPr>
        <w:t xml:space="preserve">Lake </w:t>
      </w:r>
      <w:r>
        <w:rPr>
          <w:spacing w:val="-4"/>
          <w:szCs w:val="22"/>
        </w:rPr>
        <w:t xml:space="preserve">is </w:t>
      </w:r>
      <w:r>
        <w:rPr>
          <w:szCs w:val="22"/>
        </w:rPr>
        <w:t xml:space="preserve">listed </w:t>
      </w:r>
      <w:r>
        <w:rPr>
          <w:spacing w:val="-4"/>
          <w:szCs w:val="22"/>
        </w:rPr>
        <w:t xml:space="preserve">for </w:t>
      </w:r>
      <w:r>
        <w:rPr>
          <w:spacing w:val="-6"/>
          <w:szCs w:val="22"/>
        </w:rPr>
        <w:t xml:space="preserve">impairments (nitrite/nitrate, total nitrogen, total phosphorus, chlorophyll-a) </w:t>
      </w:r>
      <w:r>
        <w:rPr>
          <w:szCs w:val="22"/>
        </w:rPr>
        <w:t xml:space="preserve">on </w:t>
      </w:r>
      <w:r>
        <w:rPr>
          <w:spacing w:val="-4"/>
          <w:szCs w:val="22"/>
        </w:rPr>
        <w:t xml:space="preserve">the </w:t>
      </w:r>
      <w:r>
        <w:rPr>
          <w:szCs w:val="22"/>
        </w:rPr>
        <w:t>20</w:t>
      </w:r>
      <w:r w:rsidR="00F304CB">
        <w:rPr>
          <w:szCs w:val="22"/>
        </w:rPr>
        <w:t>20</w:t>
      </w:r>
      <w:r>
        <w:rPr>
          <w:szCs w:val="22"/>
        </w:rPr>
        <w:t xml:space="preserve"> </w:t>
      </w:r>
      <w:r>
        <w:rPr>
          <w:spacing w:val="-6"/>
          <w:szCs w:val="22"/>
        </w:rPr>
        <w:t xml:space="preserve">Montana </w:t>
      </w:r>
      <w:r>
        <w:rPr>
          <w:szCs w:val="22"/>
        </w:rPr>
        <w:t xml:space="preserve">303(d) </w:t>
      </w:r>
      <w:r>
        <w:rPr>
          <w:spacing w:val="-4"/>
          <w:szCs w:val="22"/>
        </w:rPr>
        <w:t xml:space="preserve">list for </w:t>
      </w:r>
      <w:r>
        <w:rPr>
          <w:szCs w:val="22"/>
        </w:rPr>
        <w:t xml:space="preserve">the section below </w:t>
      </w:r>
      <w:proofErr w:type="spellStart"/>
      <w:r>
        <w:rPr>
          <w:szCs w:val="22"/>
        </w:rPr>
        <w:t>Hubbart</w:t>
      </w:r>
      <w:proofErr w:type="spellEnd"/>
      <w:r>
        <w:rPr>
          <w:szCs w:val="22"/>
        </w:rPr>
        <w:t xml:space="preserve"> </w:t>
      </w:r>
      <w:r>
        <w:rPr>
          <w:spacing w:val="-6"/>
          <w:szCs w:val="22"/>
        </w:rPr>
        <w:t xml:space="preserve">Reservoir </w:t>
      </w:r>
      <w:r>
        <w:rPr>
          <w:spacing w:val="-4"/>
          <w:szCs w:val="22"/>
        </w:rPr>
        <w:t xml:space="preserve">and </w:t>
      </w:r>
      <w:r>
        <w:rPr>
          <w:szCs w:val="22"/>
        </w:rPr>
        <w:t xml:space="preserve">above </w:t>
      </w:r>
      <w:r>
        <w:rPr>
          <w:spacing w:val="-4"/>
          <w:szCs w:val="22"/>
        </w:rPr>
        <w:t xml:space="preserve">the </w:t>
      </w:r>
      <w:r>
        <w:rPr>
          <w:szCs w:val="22"/>
        </w:rPr>
        <w:t xml:space="preserve">Flathead </w:t>
      </w:r>
      <w:r>
        <w:rPr>
          <w:spacing w:val="-6"/>
          <w:szCs w:val="22"/>
        </w:rPr>
        <w:t xml:space="preserve">Reservation boundary.  The Flathead River, which is the receiving water for Little Bitterroot River, is also listed for impairments including nitrate/nitrite, total nitrogen, total phosphorus, sedimentation, and temperature. </w:t>
      </w:r>
    </w:p>
    <w:p w14:paraId="060C66DE" w14:textId="77777777" w:rsidR="003C69C1" w:rsidRDefault="003C69C1" w:rsidP="003C69C1">
      <w:pPr>
        <w:spacing w:line="0" w:lineRule="atLeast"/>
        <w:rPr>
          <w:spacing w:val="-5"/>
          <w:szCs w:val="22"/>
        </w:rPr>
      </w:pPr>
    </w:p>
    <w:p w14:paraId="6B319804" w14:textId="73E0D1CC" w:rsidR="003C69C1" w:rsidRDefault="003C69C1" w:rsidP="00E3742A">
      <w:pPr>
        <w:spacing w:line="0" w:lineRule="atLeast"/>
        <w:rPr>
          <w:spacing w:val="-5"/>
          <w:szCs w:val="22"/>
        </w:rPr>
      </w:pPr>
      <w:r>
        <w:rPr>
          <w:spacing w:val="-5"/>
          <w:szCs w:val="22"/>
        </w:rPr>
        <w:t>Several previous data collection efforts have been conducted on Little Bitterroot Lake, including those from Flathead Lake Biological Station (1998, 2008) and Whitefish Lake Institute through the Northwest Montana Lakes Volunteer Monitoring Network (NWMLVMN).  Additionally, groundwater wells in the area west of Kalispell have been sampled for radioactive constituents, especially uranium, and have shown elevated results (Scott, 2016), although recent sampling by WET and LBLA did not reveal elevated levels of uranium in the lake or neighboring wells (WET, 2017).</w:t>
      </w:r>
    </w:p>
    <w:p w14:paraId="12DD73C7" w14:textId="77777777" w:rsidR="00800C01" w:rsidRDefault="00800C01" w:rsidP="00E3742A">
      <w:pPr>
        <w:spacing w:line="0" w:lineRule="atLeast"/>
        <w:rPr>
          <w:spacing w:val="-5"/>
          <w:szCs w:val="22"/>
        </w:rPr>
      </w:pPr>
    </w:p>
    <w:p w14:paraId="46DB5F65" w14:textId="532AF106" w:rsidR="00E3742A" w:rsidRPr="00800C01" w:rsidRDefault="00585CFA" w:rsidP="00E3742A">
      <w:pPr>
        <w:spacing w:line="0" w:lineRule="atLeast"/>
        <w:rPr>
          <w:b/>
          <w:bCs/>
          <w:spacing w:val="-5"/>
          <w:szCs w:val="22"/>
        </w:rPr>
      </w:pPr>
      <w:r>
        <w:rPr>
          <w:b/>
          <w:bCs/>
          <w:spacing w:val="-5"/>
          <w:szCs w:val="22"/>
        </w:rPr>
        <w:t>Figure 1. Map of sampling locations.</w:t>
      </w:r>
    </w:p>
    <w:p w14:paraId="22A46F67" w14:textId="775E8EFA" w:rsidR="003C69C1" w:rsidRDefault="003C69C1">
      <w:pPr>
        <w:rPr>
          <w:spacing w:val="-5"/>
          <w:szCs w:val="22"/>
        </w:rPr>
      </w:pPr>
      <w:r>
        <w:rPr>
          <w:noProof/>
          <w:spacing w:val="-5"/>
          <w:szCs w:val="22"/>
        </w:rPr>
        <w:drawing>
          <wp:inline distT="0" distB="0" distL="0" distR="0" wp14:anchorId="70D7EDF7" wp14:editId="761401D8">
            <wp:extent cx="4263590" cy="6583680"/>
            <wp:effectExtent l="19050" t="19050" r="2286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3590" cy="6583680"/>
                    </a:xfrm>
                    <a:prstGeom prst="rect">
                      <a:avLst/>
                    </a:prstGeom>
                    <a:noFill/>
                    <a:ln>
                      <a:solidFill>
                        <a:schemeClr val="tx1"/>
                      </a:solidFill>
                    </a:ln>
                  </pic:spPr>
                </pic:pic>
              </a:graphicData>
            </a:graphic>
          </wp:inline>
        </w:drawing>
      </w:r>
      <w:r>
        <w:rPr>
          <w:spacing w:val="-5"/>
          <w:szCs w:val="22"/>
        </w:rPr>
        <w:br w:type="page"/>
      </w:r>
    </w:p>
    <w:p w14:paraId="46D32756" w14:textId="44835E6C" w:rsidR="00826EE0" w:rsidRPr="00CA3B6B" w:rsidRDefault="00826EE0" w:rsidP="00826EE0">
      <w:pPr>
        <w:pStyle w:val="Heading2"/>
      </w:pPr>
      <w:bookmarkStart w:id="12" w:name="_Toc109055204"/>
      <w:r>
        <w:lastRenderedPageBreak/>
        <w:t>1.3 Project Team and Responsibilities</w:t>
      </w:r>
      <w:bookmarkEnd w:id="12"/>
    </w:p>
    <w:p w14:paraId="51EAC493" w14:textId="77777777" w:rsidR="003C69C1" w:rsidRDefault="003C69C1" w:rsidP="003C69C1">
      <w:pPr>
        <w:pStyle w:val="BodyText"/>
        <w:spacing w:before="58"/>
        <w:ind w:left="100" w:right="292"/>
        <w:rPr>
          <w:rFonts w:ascii="Calibri" w:hAnsi="Calibri"/>
          <w:szCs w:val="22"/>
        </w:rPr>
      </w:pPr>
      <w:r>
        <w:rPr>
          <w:rFonts w:ascii="Calibri" w:hAnsi="Calibri"/>
          <w:szCs w:val="22"/>
        </w:rPr>
        <w:t>John Babcock will be the WET project manager responsible for implementing this SAP and performing field sampling, including: (1) ensuring field forms are complete and accurate, (2) filling out the chain of custody form for the lab, (3) delivering or shipping the samples to the lab, (4) communicating with the lab and with DEQ, (5) performing data quality assessment and identifying data qualifiers, and (6) responsible for overall data management tasks.</w:t>
      </w:r>
    </w:p>
    <w:p w14:paraId="36842E7E" w14:textId="60B2CD58" w:rsidR="003C69C1" w:rsidRDefault="003C69C1" w:rsidP="003C69C1">
      <w:pPr>
        <w:pStyle w:val="BodyText"/>
        <w:ind w:left="100" w:right="346"/>
        <w:rPr>
          <w:rFonts w:ascii="Calibri" w:hAnsi="Calibri"/>
          <w:szCs w:val="22"/>
        </w:rPr>
      </w:pPr>
      <w:r>
        <w:rPr>
          <w:rFonts w:ascii="Calibri" w:hAnsi="Calibri"/>
          <w:szCs w:val="22"/>
        </w:rPr>
        <w:t xml:space="preserve">Volunteers from Little Bitterroot Lake Association (Dan Handlin, Rob Torgerson, Lauren </w:t>
      </w:r>
      <w:proofErr w:type="spellStart"/>
      <w:r>
        <w:rPr>
          <w:rFonts w:ascii="Calibri" w:hAnsi="Calibri"/>
          <w:szCs w:val="22"/>
        </w:rPr>
        <w:t>Shotnik</w:t>
      </w:r>
      <w:proofErr w:type="spellEnd"/>
      <w:r>
        <w:rPr>
          <w:rFonts w:ascii="Calibri" w:hAnsi="Calibri"/>
          <w:szCs w:val="22"/>
        </w:rPr>
        <w:t>, or Anna Marie Bailey) will provide field support during sampling, including sample collection, labeling, filtration, and boat operation.</w:t>
      </w:r>
    </w:p>
    <w:p w14:paraId="51A2E7A0" w14:textId="73A258C7" w:rsidR="003C69C1" w:rsidRDefault="00826EE0" w:rsidP="003C69C1">
      <w:pPr>
        <w:rPr>
          <w:rFonts w:cstheme="minorHAnsi"/>
          <w:b/>
          <w:szCs w:val="22"/>
        </w:rPr>
      </w:pPr>
      <w:r w:rsidRPr="000749CA">
        <w:rPr>
          <w:rFonts w:cstheme="minorHAnsi"/>
          <w:b/>
          <w:szCs w:val="22"/>
        </w:rPr>
        <w:t xml:space="preserve">Table </w:t>
      </w:r>
      <w:r>
        <w:rPr>
          <w:rFonts w:cstheme="minorHAnsi"/>
          <w:b/>
          <w:szCs w:val="22"/>
        </w:rPr>
        <w:t>1.</w:t>
      </w:r>
      <w:r w:rsidRPr="000749CA">
        <w:rPr>
          <w:rFonts w:cstheme="minorHAnsi"/>
          <w:b/>
          <w:szCs w:val="22"/>
        </w:rPr>
        <w:t xml:space="preserve"> Project Team Roles and Responsibilities</w:t>
      </w:r>
      <w:bookmarkStart w:id="13" w:name="_Hlk37336206"/>
      <w:r w:rsidR="003C69C1" w:rsidRPr="003C69C1">
        <w:rPr>
          <w:rFonts w:cstheme="minorHAnsi"/>
          <w:b/>
          <w:szCs w:val="22"/>
        </w:rPr>
        <w:t xml:space="preserve"> </w:t>
      </w:r>
    </w:p>
    <w:tbl>
      <w:tblPr>
        <w:tblW w:w="9645" w:type="dxa"/>
        <w:jc w:val="center"/>
        <w:tblLook w:val="04A0" w:firstRow="1" w:lastRow="0" w:firstColumn="1" w:lastColumn="0" w:noHBand="0" w:noVBand="1"/>
      </w:tblPr>
      <w:tblGrid>
        <w:gridCol w:w="4105"/>
        <w:gridCol w:w="2555"/>
        <w:gridCol w:w="2985"/>
      </w:tblGrid>
      <w:tr w:rsidR="003C69C1" w14:paraId="4A4CAB70" w14:textId="77777777" w:rsidTr="003C69C1">
        <w:trPr>
          <w:trHeight w:val="300"/>
          <w:tblHeader/>
          <w:jc w:val="center"/>
        </w:trPr>
        <w:tc>
          <w:tcPr>
            <w:tcW w:w="4105"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19CB7FE" w14:textId="77777777" w:rsidR="003C69C1" w:rsidRDefault="003C69C1">
            <w:pPr>
              <w:rPr>
                <w:rFonts w:ascii="Calibri" w:hAnsi="Calibri" w:cs="Calibri"/>
                <w:b/>
                <w:bCs/>
                <w:color w:val="000000"/>
                <w:szCs w:val="22"/>
              </w:rPr>
            </w:pPr>
            <w:r>
              <w:rPr>
                <w:rFonts w:ascii="Calibri" w:hAnsi="Calibri" w:cs="Calibri"/>
                <w:b/>
                <w:bCs/>
                <w:color w:val="000000"/>
                <w:szCs w:val="22"/>
              </w:rPr>
              <w:t>Role</w:t>
            </w:r>
          </w:p>
        </w:tc>
        <w:tc>
          <w:tcPr>
            <w:tcW w:w="2555" w:type="dxa"/>
            <w:tcBorders>
              <w:top w:val="single" w:sz="4" w:space="0" w:color="auto"/>
              <w:left w:val="nil"/>
              <w:bottom w:val="single" w:sz="4" w:space="0" w:color="auto"/>
              <w:right w:val="single" w:sz="4" w:space="0" w:color="auto"/>
            </w:tcBorders>
            <w:shd w:val="clear" w:color="auto" w:fill="D9D9D9"/>
            <w:noWrap/>
            <w:vAlign w:val="bottom"/>
            <w:hideMark/>
          </w:tcPr>
          <w:p w14:paraId="244B876E" w14:textId="77777777" w:rsidR="003C69C1" w:rsidRDefault="003C69C1">
            <w:pPr>
              <w:rPr>
                <w:rFonts w:ascii="Calibri" w:hAnsi="Calibri" w:cs="Calibri"/>
                <w:b/>
                <w:bCs/>
                <w:color w:val="000000"/>
                <w:szCs w:val="22"/>
              </w:rPr>
            </w:pPr>
            <w:r>
              <w:rPr>
                <w:rFonts w:ascii="Calibri" w:hAnsi="Calibri" w:cs="Calibri"/>
                <w:b/>
                <w:bCs/>
                <w:color w:val="000000"/>
                <w:szCs w:val="22"/>
              </w:rPr>
              <w:t xml:space="preserve">Person(s) </w:t>
            </w:r>
          </w:p>
        </w:tc>
        <w:tc>
          <w:tcPr>
            <w:tcW w:w="2985" w:type="dxa"/>
            <w:tcBorders>
              <w:top w:val="single" w:sz="4" w:space="0" w:color="auto"/>
              <w:left w:val="nil"/>
              <w:bottom w:val="single" w:sz="4" w:space="0" w:color="auto"/>
              <w:right w:val="single" w:sz="4" w:space="0" w:color="auto"/>
            </w:tcBorders>
            <w:shd w:val="clear" w:color="auto" w:fill="D9D9D9"/>
            <w:noWrap/>
            <w:vAlign w:val="bottom"/>
            <w:hideMark/>
          </w:tcPr>
          <w:p w14:paraId="0097600E" w14:textId="77777777" w:rsidR="003C69C1" w:rsidRDefault="003C69C1">
            <w:pPr>
              <w:rPr>
                <w:rFonts w:ascii="Calibri" w:hAnsi="Calibri" w:cs="Calibri"/>
                <w:b/>
                <w:bCs/>
                <w:color w:val="000000"/>
                <w:szCs w:val="22"/>
              </w:rPr>
            </w:pPr>
            <w:r>
              <w:rPr>
                <w:rFonts w:ascii="Calibri" w:hAnsi="Calibri" w:cs="Calibri"/>
                <w:b/>
                <w:bCs/>
                <w:color w:val="000000"/>
                <w:szCs w:val="22"/>
              </w:rPr>
              <w:t>Contact phone, email</w:t>
            </w:r>
          </w:p>
        </w:tc>
      </w:tr>
      <w:tr w:rsidR="003C69C1" w14:paraId="667822DE" w14:textId="77777777" w:rsidTr="003C69C1">
        <w:trPr>
          <w:trHeight w:val="300"/>
          <w:jc w:val="center"/>
        </w:trPr>
        <w:tc>
          <w:tcPr>
            <w:tcW w:w="4105" w:type="dxa"/>
            <w:tcBorders>
              <w:top w:val="nil"/>
              <w:left w:val="single" w:sz="4" w:space="0" w:color="auto"/>
              <w:bottom w:val="single" w:sz="4" w:space="0" w:color="auto"/>
              <w:right w:val="single" w:sz="4" w:space="0" w:color="auto"/>
            </w:tcBorders>
            <w:noWrap/>
            <w:vAlign w:val="bottom"/>
            <w:hideMark/>
          </w:tcPr>
          <w:p w14:paraId="7A59C3EC" w14:textId="77777777" w:rsidR="003C69C1" w:rsidRDefault="003C69C1">
            <w:pPr>
              <w:rPr>
                <w:rFonts w:ascii="Calibri" w:hAnsi="Calibri" w:cs="Calibri"/>
                <w:color w:val="000000"/>
                <w:szCs w:val="22"/>
              </w:rPr>
            </w:pPr>
            <w:r>
              <w:rPr>
                <w:rFonts w:ascii="Calibri" w:hAnsi="Calibri" w:cs="Calibri"/>
                <w:color w:val="000000"/>
                <w:szCs w:val="22"/>
              </w:rPr>
              <w:t>Develop Sampling and Analysis Plan (SAP)</w:t>
            </w:r>
          </w:p>
        </w:tc>
        <w:tc>
          <w:tcPr>
            <w:tcW w:w="2555" w:type="dxa"/>
            <w:vMerge w:val="restart"/>
            <w:tcBorders>
              <w:top w:val="nil"/>
              <w:left w:val="nil"/>
              <w:bottom w:val="single" w:sz="4" w:space="0" w:color="auto"/>
              <w:right w:val="single" w:sz="4" w:space="0" w:color="auto"/>
            </w:tcBorders>
            <w:noWrap/>
            <w:vAlign w:val="center"/>
            <w:hideMark/>
          </w:tcPr>
          <w:p w14:paraId="60BE310A" w14:textId="77777777" w:rsidR="003C69C1" w:rsidRDefault="003C69C1">
            <w:pPr>
              <w:jc w:val="center"/>
              <w:rPr>
                <w:rFonts w:ascii="Calibri" w:hAnsi="Calibri" w:cs="Calibri"/>
                <w:color w:val="000000"/>
                <w:szCs w:val="22"/>
              </w:rPr>
            </w:pPr>
            <w:r>
              <w:rPr>
                <w:rFonts w:ascii="Calibri" w:hAnsi="Calibri" w:cs="Calibri"/>
                <w:color w:val="000000"/>
                <w:szCs w:val="22"/>
              </w:rPr>
              <w:t>John Babcock</w:t>
            </w:r>
          </w:p>
        </w:tc>
        <w:tc>
          <w:tcPr>
            <w:tcW w:w="2985" w:type="dxa"/>
            <w:vMerge w:val="restart"/>
            <w:tcBorders>
              <w:top w:val="nil"/>
              <w:left w:val="nil"/>
              <w:bottom w:val="single" w:sz="4" w:space="0" w:color="auto"/>
              <w:right w:val="single" w:sz="4" w:space="0" w:color="auto"/>
            </w:tcBorders>
            <w:noWrap/>
            <w:vAlign w:val="bottom"/>
            <w:hideMark/>
          </w:tcPr>
          <w:p w14:paraId="7B6C33A8" w14:textId="77777777" w:rsidR="003C69C1" w:rsidRDefault="003C69C1">
            <w:pPr>
              <w:rPr>
                <w:rFonts w:ascii="Calibri" w:hAnsi="Calibri" w:cs="Calibri"/>
                <w:color w:val="000000"/>
                <w:szCs w:val="22"/>
              </w:rPr>
            </w:pPr>
            <w:r>
              <w:rPr>
                <w:rFonts w:ascii="Calibri" w:hAnsi="Calibri" w:cs="Calibri"/>
                <w:color w:val="000000"/>
                <w:szCs w:val="22"/>
              </w:rPr>
              <w:t> </w:t>
            </w:r>
          </w:p>
          <w:p w14:paraId="0106AADF" w14:textId="77777777" w:rsidR="003C69C1" w:rsidRDefault="003C69C1">
            <w:pPr>
              <w:rPr>
                <w:rFonts w:ascii="Calibri" w:hAnsi="Calibri" w:cs="Calibri"/>
                <w:color w:val="000000"/>
                <w:szCs w:val="22"/>
              </w:rPr>
            </w:pPr>
            <w:r>
              <w:rPr>
                <w:rFonts w:ascii="Calibri" w:hAnsi="Calibri" w:cs="Calibri"/>
                <w:color w:val="000000"/>
                <w:szCs w:val="22"/>
              </w:rPr>
              <w:t> </w:t>
            </w:r>
          </w:p>
          <w:p w14:paraId="77D5E3C8" w14:textId="77777777" w:rsidR="003C69C1" w:rsidRDefault="003C69C1">
            <w:pPr>
              <w:rPr>
                <w:rFonts w:ascii="Calibri" w:hAnsi="Calibri" w:cs="Calibri"/>
                <w:color w:val="000000"/>
                <w:szCs w:val="22"/>
              </w:rPr>
            </w:pPr>
            <w:r>
              <w:rPr>
                <w:rFonts w:ascii="Calibri" w:hAnsi="Calibri" w:cs="Calibri"/>
                <w:color w:val="000000"/>
                <w:szCs w:val="22"/>
              </w:rPr>
              <w:t> (406) 497-8682</w:t>
            </w:r>
          </w:p>
          <w:p w14:paraId="63906764" w14:textId="77777777" w:rsidR="003C69C1" w:rsidRDefault="003C69C1">
            <w:pPr>
              <w:rPr>
                <w:rFonts w:ascii="Calibri" w:hAnsi="Calibri" w:cs="Calibri"/>
                <w:color w:val="000000"/>
                <w:szCs w:val="22"/>
              </w:rPr>
            </w:pPr>
            <w:r>
              <w:rPr>
                <w:rFonts w:ascii="Calibri" w:hAnsi="Calibri" w:cs="Calibri"/>
                <w:color w:val="000000"/>
                <w:szCs w:val="22"/>
              </w:rPr>
              <w:t>jbabcock@waterenvtech.com</w:t>
            </w:r>
          </w:p>
          <w:p w14:paraId="35DB56BF" w14:textId="77777777" w:rsidR="003C69C1" w:rsidRDefault="003C69C1">
            <w:pPr>
              <w:rPr>
                <w:rFonts w:ascii="Calibri" w:hAnsi="Calibri" w:cs="Calibri"/>
                <w:color w:val="000000"/>
                <w:szCs w:val="22"/>
              </w:rPr>
            </w:pPr>
            <w:r>
              <w:rPr>
                <w:rFonts w:ascii="Calibri" w:hAnsi="Calibri" w:cs="Calibri"/>
                <w:color w:val="000000"/>
                <w:szCs w:val="22"/>
              </w:rPr>
              <w:t> </w:t>
            </w:r>
          </w:p>
          <w:p w14:paraId="3A9BBB0C" w14:textId="77777777" w:rsidR="003C69C1" w:rsidRDefault="003C69C1">
            <w:pPr>
              <w:rPr>
                <w:rFonts w:ascii="Calibri" w:hAnsi="Calibri" w:cs="Calibri"/>
                <w:color w:val="000000"/>
                <w:szCs w:val="22"/>
              </w:rPr>
            </w:pPr>
            <w:r>
              <w:rPr>
                <w:rFonts w:ascii="Calibri" w:hAnsi="Calibri" w:cs="Calibri"/>
                <w:color w:val="000000"/>
                <w:szCs w:val="22"/>
              </w:rPr>
              <w:t> </w:t>
            </w:r>
          </w:p>
          <w:p w14:paraId="03639727" w14:textId="77777777" w:rsidR="003C69C1" w:rsidRDefault="003C69C1">
            <w:pPr>
              <w:rPr>
                <w:rFonts w:ascii="Calibri" w:hAnsi="Calibri" w:cs="Calibri"/>
                <w:color w:val="000000"/>
                <w:szCs w:val="22"/>
              </w:rPr>
            </w:pPr>
            <w:r>
              <w:rPr>
                <w:rFonts w:ascii="Calibri" w:hAnsi="Calibri" w:cs="Calibri"/>
                <w:color w:val="000000"/>
                <w:szCs w:val="22"/>
              </w:rPr>
              <w:t> </w:t>
            </w:r>
          </w:p>
          <w:p w14:paraId="1EAA53D7" w14:textId="77777777" w:rsidR="003C69C1" w:rsidRDefault="003C69C1">
            <w:pPr>
              <w:rPr>
                <w:rFonts w:ascii="Calibri" w:hAnsi="Calibri" w:cs="Calibri"/>
                <w:color w:val="000000"/>
                <w:szCs w:val="22"/>
              </w:rPr>
            </w:pPr>
            <w:r>
              <w:rPr>
                <w:rFonts w:ascii="Calibri" w:hAnsi="Calibri" w:cs="Calibri"/>
                <w:color w:val="000000"/>
                <w:szCs w:val="22"/>
              </w:rPr>
              <w:t> </w:t>
            </w:r>
          </w:p>
          <w:p w14:paraId="075F1A14" w14:textId="77777777" w:rsidR="003C69C1" w:rsidRDefault="003C69C1">
            <w:pPr>
              <w:rPr>
                <w:rFonts w:ascii="Calibri" w:hAnsi="Calibri" w:cs="Calibri"/>
                <w:color w:val="000000"/>
                <w:szCs w:val="22"/>
              </w:rPr>
            </w:pPr>
            <w:r>
              <w:rPr>
                <w:rFonts w:ascii="Calibri" w:hAnsi="Calibri" w:cs="Calibri"/>
                <w:color w:val="000000"/>
                <w:szCs w:val="22"/>
              </w:rPr>
              <w:t> </w:t>
            </w:r>
          </w:p>
        </w:tc>
      </w:tr>
      <w:tr w:rsidR="003C69C1" w14:paraId="403DB797" w14:textId="77777777" w:rsidTr="003C69C1">
        <w:trPr>
          <w:trHeight w:val="300"/>
          <w:jc w:val="center"/>
        </w:trPr>
        <w:tc>
          <w:tcPr>
            <w:tcW w:w="4105" w:type="dxa"/>
            <w:tcBorders>
              <w:top w:val="nil"/>
              <w:left w:val="single" w:sz="4" w:space="0" w:color="auto"/>
              <w:bottom w:val="single" w:sz="4" w:space="0" w:color="auto"/>
              <w:right w:val="single" w:sz="4" w:space="0" w:color="auto"/>
            </w:tcBorders>
            <w:noWrap/>
            <w:vAlign w:val="bottom"/>
            <w:hideMark/>
          </w:tcPr>
          <w:p w14:paraId="29DE81EE" w14:textId="77777777" w:rsidR="003C69C1" w:rsidRDefault="003C69C1">
            <w:pPr>
              <w:rPr>
                <w:rFonts w:ascii="Calibri" w:hAnsi="Calibri" w:cs="Calibri"/>
                <w:color w:val="000000"/>
                <w:szCs w:val="22"/>
              </w:rPr>
            </w:pPr>
            <w:r>
              <w:rPr>
                <w:rFonts w:ascii="Calibri" w:hAnsi="Calibri" w:cs="Calibri"/>
                <w:color w:val="000000"/>
                <w:szCs w:val="22"/>
              </w:rPr>
              <w:t>Oversee monitoring personnel</w:t>
            </w:r>
          </w:p>
        </w:tc>
        <w:tc>
          <w:tcPr>
            <w:tcW w:w="0" w:type="auto"/>
            <w:vMerge/>
            <w:tcBorders>
              <w:top w:val="nil"/>
              <w:left w:val="nil"/>
              <w:bottom w:val="single" w:sz="4" w:space="0" w:color="auto"/>
              <w:right w:val="single" w:sz="4" w:space="0" w:color="auto"/>
            </w:tcBorders>
            <w:vAlign w:val="center"/>
            <w:hideMark/>
          </w:tcPr>
          <w:p w14:paraId="582B54C9" w14:textId="77777777" w:rsidR="003C69C1" w:rsidRDefault="003C69C1">
            <w:pPr>
              <w:rPr>
                <w:rFonts w:ascii="Calibri" w:hAnsi="Calibri" w:cs="Calibri"/>
                <w:color w:val="000000"/>
                <w:szCs w:val="22"/>
              </w:rPr>
            </w:pPr>
          </w:p>
        </w:tc>
        <w:tc>
          <w:tcPr>
            <w:tcW w:w="0" w:type="auto"/>
            <w:vMerge/>
            <w:tcBorders>
              <w:top w:val="nil"/>
              <w:left w:val="nil"/>
              <w:bottom w:val="single" w:sz="4" w:space="0" w:color="auto"/>
              <w:right w:val="single" w:sz="4" w:space="0" w:color="auto"/>
            </w:tcBorders>
            <w:vAlign w:val="center"/>
            <w:hideMark/>
          </w:tcPr>
          <w:p w14:paraId="11608E3F" w14:textId="77777777" w:rsidR="003C69C1" w:rsidRDefault="003C69C1">
            <w:pPr>
              <w:rPr>
                <w:rFonts w:ascii="Calibri" w:hAnsi="Calibri" w:cs="Calibri"/>
                <w:color w:val="000000"/>
                <w:szCs w:val="22"/>
              </w:rPr>
            </w:pPr>
          </w:p>
        </w:tc>
      </w:tr>
      <w:tr w:rsidR="003C69C1" w14:paraId="2595BEF9" w14:textId="77777777" w:rsidTr="003C69C1">
        <w:trPr>
          <w:trHeight w:val="300"/>
          <w:jc w:val="center"/>
        </w:trPr>
        <w:tc>
          <w:tcPr>
            <w:tcW w:w="4105" w:type="dxa"/>
            <w:tcBorders>
              <w:top w:val="nil"/>
              <w:left w:val="single" w:sz="4" w:space="0" w:color="auto"/>
              <w:bottom w:val="single" w:sz="4" w:space="0" w:color="auto"/>
              <w:right w:val="single" w:sz="4" w:space="0" w:color="auto"/>
            </w:tcBorders>
            <w:noWrap/>
            <w:vAlign w:val="bottom"/>
            <w:hideMark/>
          </w:tcPr>
          <w:p w14:paraId="1AB8F83F" w14:textId="77777777" w:rsidR="003C69C1" w:rsidRDefault="003C69C1">
            <w:pPr>
              <w:rPr>
                <w:rFonts w:ascii="Calibri" w:hAnsi="Calibri" w:cs="Calibri"/>
                <w:color w:val="000000"/>
                <w:szCs w:val="22"/>
              </w:rPr>
            </w:pPr>
            <w:r>
              <w:rPr>
                <w:rFonts w:ascii="Calibri" w:hAnsi="Calibri" w:cs="Calibri"/>
                <w:color w:val="000000"/>
                <w:szCs w:val="22"/>
              </w:rPr>
              <w:t>Training monitoring personnel</w:t>
            </w:r>
          </w:p>
        </w:tc>
        <w:tc>
          <w:tcPr>
            <w:tcW w:w="0" w:type="auto"/>
            <w:vMerge/>
            <w:tcBorders>
              <w:top w:val="nil"/>
              <w:left w:val="nil"/>
              <w:bottom w:val="single" w:sz="4" w:space="0" w:color="auto"/>
              <w:right w:val="single" w:sz="4" w:space="0" w:color="auto"/>
            </w:tcBorders>
            <w:vAlign w:val="center"/>
            <w:hideMark/>
          </w:tcPr>
          <w:p w14:paraId="45183AF0" w14:textId="77777777" w:rsidR="003C69C1" w:rsidRDefault="003C69C1">
            <w:pPr>
              <w:rPr>
                <w:rFonts w:ascii="Calibri" w:hAnsi="Calibri" w:cs="Calibri"/>
                <w:color w:val="000000"/>
                <w:szCs w:val="22"/>
              </w:rPr>
            </w:pPr>
          </w:p>
        </w:tc>
        <w:tc>
          <w:tcPr>
            <w:tcW w:w="0" w:type="auto"/>
            <w:vMerge/>
            <w:tcBorders>
              <w:top w:val="nil"/>
              <w:left w:val="nil"/>
              <w:bottom w:val="single" w:sz="4" w:space="0" w:color="auto"/>
              <w:right w:val="single" w:sz="4" w:space="0" w:color="auto"/>
            </w:tcBorders>
            <w:vAlign w:val="center"/>
            <w:hideMark/>
          </w:tcPr>
          <w:p w14:paraId="4D99EFEA" w14:textId="77777777" w:rsidR="003C69C1" w:rsidRDefault="003C69C1">
            <w:pPr>
              <w:rPr>
                <w:rFonts w:ascii="Calibri" w:hAnsi="Calibri" w:cs="Calibri"/>
                <w:color w:val="000000"/>
                <w:szCs w:val="22"/>
              </w:rPr>
            </w:pPr>
          </w:p>
        </w:tc>
      </w:tr>
      <w:tr w:rsidR="003C69C1" w14:paraId="72033A64" w14:textId="77777777" w:rsidTr="003C69C1">
        <w:trPr>
          <w:trHeight w:val="300"/>
          <w:jc w:val="center"/>
        </w:trPr>
        <w:tc>
          <w:tcPr>
            <w:tcW w:w="4105" w:type="dxa"/>
            <w:tcBorders>
              <w:top w:val="nil"/>
              <w:left w:val="single" w:sz="4" w:space="0" w:color="auto"/>
              <w:bottom w:val="single" w:sz="4" w:space="0" w:color="auto"/>
              <w:right w:val="single" w:sz="4" w:space="0" w:color="auto"/>
            </w:tcBorders>
            <w:noWrap/>
            <w:vAlign w:val="bottom"/>
            <w:hideMark/>
          </w:tcPr>
          <w:p w14:paraId="7CCC1D90" w14:textId="77777777" w:rsidR="003C69C1" w:rsidRDefault="003C69C1">
            <w:pPr>
              <w:rPr>
                <w:rFonts w:ascii="Calibri" w:hAnsi="Calibri" w:cs="Calibri"/>
                <w:color w:val="000000"/>
                <w:szCs w:val="22"/>
              </w:rPr>
            </w:pPr>
            <w:r>
              <w:rPr>
                <w:rFonts w:ascii="Calibri" w:hAnsi="Calibri" w:cs="Calibri"/>
                <w:color w:val="000000"/>
                <w:szCs w:val="22"/>
              </w:rPr>
              <w:t>Review field forms</w:t>
            </w:r>
          </w:p>
        </w:tc>
        <w:tc>
          <w:tcPr>
            <w:tcW w:w="0" w:type="auto"/>
            <w:vMerge/>
            <w:tcBorders>
              <w:top w:val="nil"/>
              <w:left w:val="nil"/>
              <w:bottom w:val="single" w:sz="4" w:space="0" w:color="auto"/>
              <w:right w:val="single" w:sz="4" w:space="0" w:color="auto"/>
            </w:tcBorders>
            <w:vAlign w:val="center"/>
            <w:hideMark/>
          </w:tcPr>
          <w:p w14:paraId="3D97059D" w14:textId="77777777" w:rsidR="003C69C1" w:rsidRDefault="003C69C1">
            <w:pPr>
              <w:rPr>
                <w:rFonts w:ascii="Calibri" w:hAnsi="Calibri" w:cs="Calibri"/>
                <w:color w:val="000000"/>
                <w:szCs w:val="22"/>
              </w:rPr>
            </w:pPr>
          </w:p>
        </w:tc>
        <w:tc>
          <w:tcPr>
            <w:tcW w:w="0" w:type="auto"/>
            <w:vMerge/>
            <w:tcBorders>
              <w:top w:val="nil"/>
              <w:left w:val="nil"/>
              <w:bottom w:val="single" w:sz="4" w:space="0" w:color="auto"/>
              <w:right w:val="single" w:sz="4" w:space="0" w:color="auto"/>
            </w:tcBorders>
            <w:vAlign w:val="center"/>
            <w:hideMark/>
          </w:tcPr>
          <w:p w14:paraId="65BF2BE1" w14:textId="77777777" w:rsidR="003C69C1" w:rsidRDefault="003C69C1">
            <w:pPr>
              <w:rPr>
                <w:rFonts w:ascii="Calibri" w:hAnsi="Calibri" w:cs="Calibri"/>
                <w:color w:val="000000"/>
                <w:szCs w:val="22"/>
              </w:rPr>
            </w:pPr>
          </w:p>
        </w:tc>
      </w:tr>
      <w:tr w:rsidR="003C69C1" w14:paraId="0C8F2E39" w14:textId="77777777" w:rsidTr="003C69C1">
        <w:trPr>
          <w:trHeight w:val="300"/>
          <w:jc w:val="center"/>
        </w:trPr>
        <w:tc>
          <w:tcPr>
            <w:tcW w:w="4105" w:type="dxa"/>
            <w:tcBorders>
              <w:top w:val="nil"/>
              <w:left w:val="single" w:sz="4" w:space="0" w:color="auto"/>
              <w:bottom w:val="single" w:sz="4" w:space="0" w:color="auto"/>
              <w:right w:val="single" w:sz="4" w:space="0" w:color="auto"/>
            </w:tcBorders>
            <w:noWrap/>
            <w:vAlign w:val="bottom"/>
            <w:hideMark/>
          </w:tcPr>
          <w:p w14:paraId="00E3FE80" w14:textId="77777777" w:rsidR="003C69C1" w:rsidRDefault="003C69C1">
            <w:pPr>
              <w:rPr>
                <w:rFonts w:ascii="Calibri" w:hAnsi="Calibri" w:cs="Calibri"/>
                <w:color w:val="000000"/>
                <w:szCs w:val="22"/>
              </w:rPr>
            </w:pPr>
            <w:r>
              <w:rPr>
                <w:rFonts w:ascii="Calibri" w:hAnsi="Calibri" w:cs="Calibri"/>
                <w:color w:val="000000"/>
                <w:szCs w:val="22"/>
              </w:rPr>
              <w:t>Lab coordination (e.g., bottle orders, shipping notifications, lab EDDs)</w:t>
            </w:r>
          </w:p>
        </w:tc>
        <w:tc>
          <w:tcPr>
            <w:tcW w:w="0" w:type="auto"/>
            <w:vMerge/>
            <w:tcBorders>
              <w:top w:val="nil"/>
              <w:left w:val="nil"/>
              <w:bottom w:val="single" w:sz="4" w:space="0" w:color="auto"/>
              <w:right w:val="single" w:sz="4" w:space="0" w:color="auto"/>
            </w:tcBorders>
            <w:vAlign w:val="center"/>
            <w:hideMark/>
          </w:tcPr>
          <w:p w14:paraId="45A724D4" w14:textId="77777777" w:rsidR="003C69C1" w:rsidRDefault="003C69C1">
            <w:pPr>
              <w:rPr>
                <w:rFonts w:ascii="Calibri" w:hAnsi="Calibri" w:cs="Calibri"/>
                <w:color w:val="000000"/>
                <w:szCs w:val="22"/>
              </w:rPr>
            </w:pPr>
          </w:p>
        </w:tc>
        <w:tc>
          <w:tcPr>
            <w:tcW w:w="0" w:type="auto"/>
            <w:vMerge/>
            <w:tcBorders>
              <w:top w:val="nil"/>
              <w:left w:val="nil"/>
              <w:bottom w:val="single" w:sz="4" w:space="0" w:color="auto"/>
              <w:right w:val="single" w:sz="4" w:space="0" w:color="auto"/>
            </w:tcBorders>
            <w:vAlign w:val="center"/>
            <w:hideMark/>
          </w:tcPr>
          <w:p w14:paraId="383CB8ED" w14:textId="77777777" w:rsidR="003C69C1" w:rsidRDefault="003C69C1">
            <w:pPr>
              <w:rPr>
                <w:rFonts w:ascii="Calibri" w:hAnsi="Calibri" w:cs="Calibri"/>
                <w:color w:val="000000"/>
                <w:szCs w:val="22"/>
              </w:rPr>
            </w:pPr>
          </w:p>
        </w:tc>
      </w:tr>
      <w:tr w:rsidR="003C69C1" w14:paraId="0B420073" w14:textId="77777777" w:rsidTr="003C69C1">
        <w:trPr>
          <w:trHeight w:val="300"/>
          <w:jc w:val="center"/>
        </w:trPr>
        <w:tc>
          <w:tcPr>
            <w:tcW w:w="4105" w:type="dxa"/>
            <w:tcBorders>
              <w:top w:val="nil"/>
              <w:left w:val="single" w:sz="4" w:space="0" w:color="auto"/>
              <w:bottom w:val="single" w:sz="4" w:space="0" w:color="auto"/>
              <w:right w:val="single" w:sz="4" w:space="0" w:color="auto"/>
            </w:tcBorders>
            <w:noWrap/>
            <w:vAlign w:val="bottom"/>
            <w:hideMark/>
          </w:tcPr>
          <w:p w14:paraId="6BECF72D" w14:textId="77777777" w:rsidR="003C69C1" w:rsidRDefault="003C69C1">
            <w:pPr>
              <w:rPr>
                <w:rFonts w:ascii="Calibri" w:hAnsi="Calibri" w:cs="Calibri"/>
                <w:color w:val="000000"/>
                <w:szCs w:val="22"/>
              </w:rPr>
            </w:pPr>
            <w:r>
              <w:rPr>
                <w:rFonts w:ascii="Calibri" w:hAnsi="Calibri" w:cs="Calibri"/>
                <w:color w:val="000000"/>
                <w:szCs w:val="22"/>
              </w:rPr>
              <w:t>Ship or deliver samples to lab</w:t>
            </w:r>
          </w:p>
        </w:tc>
        <w:tc>
          <w:tcPr>
            <w:tcW w:w="0" w:type="auto"/>
            <w:vMerge/>
            <w:tcBorders>
              <w:top w:val="nil"/>
              <w:left w:val="nil"/>
              <w:bottom w:val="single" w:sz="4" w:space="0" w:color="auto"/>
              <w:right w:val="single" w:sz="4" w:space="0" w:color="auto"/>
            </w:tcBorders>
            <w:vAlign w:val="center"/>
            <w:hideMark/>
          </w:tcPr>
          <w:p w14:paraId="7CD37B92" w14:textId="77777777" w:rsidR="003C69C1" w:rsidRDefault="003C69C1">
            <w:pPr>
              <w:rPr>
                <w:rFonts w:ascii="Calibri" w:hAnsi="Calibri" w:cs="Calibri"/>
                <w:color w:val="000000"/>
                <w:szCs w:val="22"/>
              </w:rPr>
            </w:pPr>
          </w:p>
        </w:tc>
        <w:tc>
          <w:tcPr>
            <w:tcW w:w="0" w:type="auto"/>
            <w:vMerge/>
            <w:tcBorders>
              <w:top w:val="nil"/>
              <w:left w:val="nil"/>
              <w:bottom w:val="single" w:sz="4" w:space="0" w:color="auto"/>
              <w:right w:val="single" w:sz="4" w:space="0" w:color="auto"/>
            </w:tcBorders>
            <w:vAlign w:val="center"/>
            <w:hideMark/>
          </w:tcPr>
          <w:p w14:paraId="5838848D" w14:textId="77777777" w:rsidR="003C69C1" w:rsidRDefault="003C69C1">
            <w:pPr>
              <w:rPr>
                <w:rFonts w:ascii="Calibri" w:hAnsi="Calibri" w:cs="Calibri"/>
                <w:color w:val="000000"/>
                <w:szCs w:val="22"/>
              </w:rPr>
            </w:pPr>
          </w:p>
        </w:tc>
      </w:tr>
      <w:tr w:rsidR="003C69C1" w14:paraId="441DF850" w14:textId="77777777" w:rsidTr="003C69C1">
        <w:trPr>
          <w:trHeight w:val="300"/>
          <w:jc w:val="center"/>
        </w:trPr>
        <w:tc>
          <w:tcPr>
            <w:tcW w:w="4105" w:type="dxa"/>
            <w:tcBorders>
              <w:top w:val="nil"/>
              <w:left w:val="single" w:sz="4" w:space="0" w:color="auto"/>
              <w:bottom w:val="single" w:sz="4" w:space="0" w:color="auto"/>
              <w:right w:val="single" w:sz="4" w:space="0" w:color="auto"/>
            </w:tcBorders>
            <w:noWrap/>
            <w:vAlign w:val="bottom"/>
            <w:hideMark/>
          </w:tcPr>
          <w:p w14:paraId="7E17EC7A" w14:textId="77777777" w:rsidR="003C69C1" w:rsidRDefault="003C69C1">
            <w:pPr>
              <w:rPr>
                <w:rFonts w:ascii="Calibri" w:hAnsi="Calibri" w:cs="Calibri"/>
                <w:color w:val="000000"/>
                <w:szCs w:val="22"/>
              </w:rPr>
            </w:pPr>
            <w:r>
              <w:rPr>
                <w:rFonts w:ascii="Calibri" w:hAnsi="Calibri" w:cs="Calibri"/>
                <w:color w:val="000000"/>
                <w:szCs w:val="22"/>
              </w:rPr>
              <w:t>Review data quality</w:t>
            </w:r>
          </w:p>
        </w:tc>
        <w:tc>
          <w:tcPr>
            <w:tcW w:w="0" w:type="auto"/>
            <w:vMerge/>
            <w:tcBorders>
              <w:top w:val="nil"/>
              <w:left w:val="nil"/>
              <w:bottom w:val="single" w:sz="4" w:space="0" w:color="auto"/>
              <w:right w:val="single" w:sz="4" w:space="0" w:color="auto"/>
            </w:tcBorders>
            <w:vAlign w:val="center"/>
            <w:hideMark/>
          </w:tcPr>
          <w:p w14:paraId="76D80711" w14:textId="77777777" w:rsidR="003C69C1" w:rsidRDefault="003C69C1">
            <w:pPr>
              <w:rPr>
                <w:rFonts w:ascii="Calibri" w:hAnsi="Calibri" w:cs="Calibri"/>
                <w:color w:val="000000"/>
                <w:szCs w:val="22"/>
              </w:rPr>
            </w:pPr>
          </w:p>
        </w:tc>
        <w:tc>
          <w:tcPr>
            <w:tcW w:w="0" w:type="auto"/>
            <w:vMerge/>
            <w:tcBorders>
              <w:top w:val="nil"/>
              <w:left w:val="nil"/>
              <w:bottom w:val="single" w:sz="4" w:space="0" w:color="auto"/>
              <w:right w:val="single" w:sz="4" w:space="0" w:color="auto"/>
            </w:tcBorders>
            <w:vAlign w:val="center"/>
            <w:hideMark/>
          </w:tcPr>
          <w:p w14:paraId="58941607" w14:textId="77777777" w:rsidR="003C69C1" w:rsidRDefault="003C69C1">
            <w:pPr>
              <w:rPr>
                <w:rFonts w:ascii="Calibri" w:hAnsi="Calibri" w:cs="Calibri"/>
                <w:color w:val="000000"/>
                <w:szCs w:val="22"/>
              </w:rPr>
            </w:pPr>
          </w:p>
        </w:tc>
      </w:tr>
      <w:tr w:rsidR="003C69C1" w14:paraId="13FEF8DD" w14:textId="77777777" w:rsidTr="003C69C1">
        <w:trPr>
          <w:trHeight w:val="300"/>
          <w:jc w:val="center"/>
        </w:trPr>
        <w:tc>
          <w:tcPr>
            <w:tcW w:w="4105" w:type="dxa"/>
            <w:tcBorders>
              <w:top w:val="nil"/>
              <w:left w:val="single" w:sz="4" w:space="0" w:color="auto"/>
              <w:bottom w:val="single" w:sz="4" w:space="0" w:color="auto"/>
              <w:right w:val="single" w:sz="4" w:space="0" w:color="auto"/>
            </w:tcBorders>
            <w:noWrap/>
            <w:vAlign w:val="bottom"/>
            <w:hideMark/>
          </w:tcPr>
          <w:p w14:paraId="4CCBF2DF" w14:textId="77777777" w:rsidR="003C69C1" w:rsidRDefault="003C69C1">
            <w:pPr>
              <w:rPr>
                <w:rFonts w:ascii="Calibri" w:hAnsi="Calibri" w:cs="Calibri"/>
                <w:color w:val="000000"/>
                <w:szCs w:val="22"/>
              </w:rPr>
            </w:pPr>
            <w:r>
              <w:rPr>
                <w:rFonts w:ascii="Calibri" w:hAnsi="Calibri" w:cs="Calibri"/>
                <w:color w:val="000000"/>
                <w:szCs w:val="22"/>
              </w:rPr>
              <w:t>Upload data into MT-</w:t>
            </w:r>
            <w:proofErr w:type="spellStart"/>
            <w:r>
              <w:rPr>
                <w:rFonts w:ascii="Calibri" w:hAnsi="Calibri" w:cs="Calibri"/>
                <w:color w:val="000000"/>
                <w:szCs w:val="22"/>
              </w:rPr>
              <w:t>eWQX</w:t>
            </w:r>
            <w:proofErr w:type="spellEnd"/>
            <w:r>
              <w:rPr>
                <w:rFonts w:ascii="Calibri" w:hAnsi="Calibri" w:cs="Calibri"/>
                <w:color w:val="000000"/>
                <w:szCs w:val="22"/>
              </w:rPr>
              <w:t xml:space="preserve"> database</w:t>
            </w:r>
          </w:p>
        </w:tc>
        <w:tc>
          <w:tcPr>
            <w:tcW w:w="0" w:type="auto"/>
            <w:vMerge/>
            <w:tcBorders>
              <w:top w:val="nil"/>
              <w:left w:val="nil"/>
              <w:bottom w:val="single" w:sz="4" w:space="0" w:color="auto"/>
              <w:right w:val="single" w:sz="4" w:space="0" w:color="auto"/>
            </w:tcBorders>
            <w:vAlign w:val="center"/>
            <w:hideMark/>
          </w:tcPr>
          <w:p w14:paraId="47313EBC" w14:textId="77777777" w:rsidR="003C69C1" w:rsidRDefault="003C69C1">
            <w:pPr>
              <w:rPr>
                <w:rFonts w:ascii="Calibri" w:hAnsi="Calibri" w:cs="Calibri"/>
                <w:color w:val="000000"/>
                <w:szCs w:val="22"/>
              </w:rPr>
            </w:pPr>
          </w:p>
        </w:tc>
        <w:tc>
          <w:tcPr>
            <w:tcW w:w="0" w:type="auto"/>
            <w:vMerge/>
            <w:tcBorders>
              <w:top w:val="nil"/>
              <w:left w:val="nil"/>
              <w:bottom w:val="single" w:sz="4" w:space="0" w:color="auto"/>
              <w:right w:val="single" w:sz="4" w:space="0" w:color="auto"/>
            </w:tcBorders>
            <w:vAlign w:val="center"/>
            <w:hideMark/>
          </w:tcPr>
          <w:p w14:paraId="47409773" w14:textId="77777777" w:rsidR="003C69C1" w:rsidRDefault="003C69C1">
            <w:pPr>
              <w:rPr>
                <w:rFonts w:ascii="Calibri" w:hAnsi="Calibri" w:cs="Calibri"/>
                <w:color w:val="000000"/>
                <w:szCs w:val="22"/>
              </w:rPr>
            </w:pPr>
          </w:p>
        </w:tc>
      </w:tr>
      <w:tr w:rsidR="003C69C1" w14:paraId="1222DC48" w14:textId="77777777" w:rsidTr="003C69C1">
        <w:trPr>
          <w:trHeight w:val="300"/>
          <w:jc w:val="center"/>
        </w:trPr>
        <w:tc>
          <w:tcPr>
            <w:tcW w:w="4105" w:type="dxa"/>
            <w:tcBorders>
              <w:top w:val="nil"/>
              <w:left w:val="single" w:sz="4" w:space="0" w:color="auto"/>
              <w:bottom w:val="single" w:sz="4" w:space="0" w:color="auto"/>
              <w:right w:val="single" w:sz="4" w:space="0" w:color="auto"/>
            </w:tcBorders>
            <w:noWrap/>
            <w:vAlign w:val="bottom"/>
            <w:hideMark/>
          </w:tcPr>
          <w:p w14:paraId="379DE0D8" w14:textId="77777777" w:rsidR="003C69C1" w:rsidRDefault="003C69C1">
            <w:pPr>
              <w:rPr>
                <w:rFonts w:ascii="Calibri" w:hAnsi="Calibri" w:cs="Calibri"/>
                <w:color w:val="000000"/>
                <w:szCs w:val="22"/>
              </w:rPr>
            </w:pPr>
            <w:r>
              <w:rPr>
                <w:rFonts w:ascii="Calibri" w:hAnsi="Calibri" w:cs="Calibri"/>
                <w:color w:val="000000"/>
                <w:szCs w:val="22"/>
              </w:rPr>
              <w:t>Write final report</w:t>
            </w:r>
          </w:p>
        </w:tc>
        <w:tc>
          <w:tcPr>
            <w:tcW w:w="0" w:type="auto"/>
            <w:vMerge/>
            <w:tcBorders>
              <w:top w:val="nil"/>
              <w:left w:val="nil"/>
              <w:bottom w:val="single" w:sz="4" w:space="0" w:color="auto"/>
              <w:right w:val="single" w:sz="4" w:space="0" w:color="auto"/>
            </w:tcBorders>
            <w:vAlign w:val="center"/>
            <w:hideMark/>
          </w:tcPr>
          <w:p w14:paraId="3EC79EE7" w14:textId="77777777" w:rsidR="003C69C1" w:rsidRDefault="003C69C1">
            <w:pPr>
              <w:rPr>
                <w:rFonts w:ascii="Calibri" w:hAnsi="Calibri" w:cs="Calibri"/>
                <w:color w:val="000000"/>
                <w:szCs w:val="22"/>
              </w:rPr>
            </w:pPr>
          </w:p>
        </w:tc>
        <w:tc>
          <w:tcPr>
            <w:tcW w:w="0" w:type="auto"/>
            <w:vMerge/>
            <w:tcBorders>
              <w:top w:val="nil"/>
              <w:left w:val="nil"/>
              <w:bottom w:val="single" w:sz="4" w:space="0" w:color="auto"/>
              <w:right w:val="single" w:sz="4" w:space="0" w:color="auto"/>
            </w:tcBorders>
            <w:vAlign w:val="center"/>
            <w:hideMark/>
          </w:tcPr>
          <w:p w14:paraId="0B27D4FE" w14:textId="77777777" w:rsidR="003C69C1" w:rsidRDefault="003C69C1">
            <w:pPr>
              <w:rPr>
                <w:rFonts w:ascii="Calibri" w:hAnsi="Calibri" w:cs="Calibri"/>
                <w:color w:val="000000"/>
                <w:szCs w:val="22"/>
              </w:rPr>
            </w:pPr>
          </w:p>
        </w:tc>
      </w:tr>
      <w:tr w:rsidR="003C69C1" w14:paraId="34337E1F" w14:textId="77777777" w:rsidTr="003C69C1">
        <w:trPr>
          <w:trHeight w:val="300"/>
          <w:jc w:val="center"/>
        </w:trPr>
        <w:tc>
          <w:tcPr>
            <w:tcW w:w="4105" w:type="dxa"/>
            <w:tcBorders>
              <w:top w:val="single" w:sz="4" w:space="0" w:color="auto"/>
              <w:left w:val="single" w:sz="4" w:space="0" w:color="auto"/>
              <w:bottom w:val="single" w:sz="4" w:space="0" w:color="auto"/>
              <w:right w:val="single" w:sz="4" w:space="0" w:color="auto"/>
            </w:tcBorders>
            <w:noWrap/>
            <w:vAlign w:val="bottom"/>
            <w:hideMark/>
          </w:tcPr>
          <w:p w14:paraId="5E697EFC" w14:textId="77777777" w:rsidR="003C69C1" w:rsidRDefault="003C69C1">
            <w:pPr>
              <w:rPr>
                <w:rFonts w:ascii="Calibri" w:hAnsi="Calibri" w:cs="Calibri"/>
                <w:color w:val="000000"/>
                <w:szCs w:val="22"/>
              </w:rPr>
            </w:pPr>
            <w:r>
              <w:rPr>
                <w:rFonts w:ascii="Calibri" w:hAnsi="Calibri" w:cs="Calibri"/>
                <w:color w:val="000000"/>
                <w:szCs w:val="22"/>
              </w:rPr>
              <w:t>Field support (driving boat, assisting with sample collection)</w:t>
            </w:r>
          </w:p>
        </w:tc>
        <w:tc>
          <w:tcPr>
            <w:tcW w:w="2555" w:type="dxa"/>
            <w:tcBorders>
              <w:top w:val="single" w:sz="4" w:space="0" w:color="auto"/>
              <w:left w:val="nil"/>
              <w:bottom w:val="single" w:sz="4" w:space="0" w:color="auto"/>
              <w:right w:val="single" w:sz="4" w:space="0" w:color="auto"/>
            </w:tcBorders>
            <w:noWrap/>
            <w:vAlign w:val="bottom"/>
            <w:hideMark/>
          </w:tcPr>
          <w:p w14:paraId="103978AB" w14:textId="77777777" w:rsidR="003C69C1" w:rsidRDefault="003C69C1">
            <w:pPr>
              <w:jc w:val="center"/>
              <w:rPr>
                <w:rFonts w:ascii="Calibri" w:hAnsi="Calibri" w:cs="Calibri"/>
                <w:color w:val="000000"/>
                <w:szCs w:val="22"/>
              </w:rPr>
            </w:pPr>
            <w:r>
              <w:rPr>
                <w:rFonts w:ascii="Calibri" w:hAnsi="Calibri" w:cs="Calibri"/>
                <w:color w:val="000000"/>
                <w:szCs w:val="22"/>
              </w:rPr>
              <w:t>Volunteers from Little Bitterroot Lake Assoc.</w:t>
            </w:r>
          </w:p>
        </w:tc>
        <w:tc>
          <w:tcPr>
            <w:tcW w:w="2985" w:type="dxa"/>
            <w:tcBorders>
              <w:top w:val="single" w:sz="4" w:space="0" w:color="auto"/>
              <w:left w:val="nil"/>
              <w:bottom w:val="single" w:sz="4" w:space="0" w:color="auto"/>
              <w:right w:val="single" w:sz="4" w:space="0" w:color="auto"/>
            </w:tcBorders>
            <w:noWrap/>
            <w:vAlign w:val="bottom"/>
            <w:hideMark/>
          </w:tcPr>
          <w:p w14:paraId="07D6F9E9" w14:textId="77777777" w:rsidR="003C69C1" w:rsidRDefault="003C69C1">
            <w:pPr>
              <w:rPr>
                <w:rFonts w:ascii="Calibri" w:hAnsi="Calibri" w:cs="Calibri"/>
                <w:color w:val="000000"/>
                <w:szCs w:val="22"/>
              </w:rPr>
            </w:pPr>
            <w:r>
              <w:rPr>
                <w:rFonts w:ascii="Calibri" w:hAnsi="Calibri" w:cs="Calibri"/>
                <w:color w:val="000000"/>
                <w:szCs w:val="22"/>
              </w:rPr>
              <w:t>Dan Handlin</w:t>
            </w:r>
          </w:p>
          <w:p w14:paraId="5D3E258D" w14:textId="53F68266" w:rsidR="003C69C1" w:rsidRDefault="0071644B">
            <w:pPr>
              <w:rPr>
                <w:rFonts w:ascii="Calibri" w:hAnsi="Calibri" w:cs="Calibri"/>
                <w:color w:val="000000"/>
                <w:szCs w:val="22"/>
              </w:rPr>
            </w:pPr>
            <w:r>
              <w:rPr>
                <w:rFonts w:ascii="Calibri" w:hAnsi="Calibri" w:cs="Calibri"/>
                <w:szCs w:val="22"/>
              </w:rPr>
              <w:t>[REDACTED]</w:t>
            </w:r>
          </w:p>
        </w:tc>
      </w:tr>
      <w:bookmarkEnd w:id="13"/>
    </w:tbl>
    <w:p w14:paraId="367A3451" w14:textId="77777777" w:rsidR="003C69C1" w:rsidRDefault="003C69C1" w:rsidP="003C69C1">
      <w:pPr>
        <w:rPr>
          <w:rFonts w:cstheme="minorHAnsi"/>
          <w:color w:val="0070C0"/>
        </w:rPr>
      </w:pPr>
    </w:p>
    <w:p w14:paraId="2FB2F89F" w14:textId="0935E517" w:rsidR="003C69C1" w:rsidRDefault="003C69C1" w:rsidP="003C69C1"/>
    <w:p w14:paraId="3D797F22" w14:textId="356BC3DC" w:rsidR="00EA12B4" w:rsidRDefault="006133F4" w:rsidP="00920FC9">
      <w:pPr>
        <w:pStyle w:val="Heading1"/>
      </w:pPr>
      <w:bookmarkStart w:id="14" w:name="_Toc109055205"/>
      <w:r>
        <w:t>2</w:t>
      </w:r>
      <w:r w:rsidR="00044016">
        <w:t xml:space="preserve">.0 </w:t>
      </w:r>
      <w:bookmarkStart w:id="15" w:name="_Toc218694537"/>
      <w:bookmarkEnd w:id="10"/>
      <w:r w:rsidR="00EA12B4">
        <w:t>Objectives and Sampling Design</w:t>
      </w:r>
      <w:bookmarkEnd w:id="14"/>
    </w:p>
    <w:p w14:paraId="30A40CD3" w14:textId="7946E46A" w:rsidR="00EA12B4" w:rsidRDefault="00EA12B4" w:rsidP="00EA12B4">
      <w:pPr>
        <w:pStyle w:val="Heading2"/>
      </w:pPr>
      <w:bookmarkStart w:id="16" w:name="_Toc218694535"/>
      <w:bookmarkStart w:id="17" w:name="_Toc109055206"/>
      <w:r>
        <w:t xml:space="preserve">2.1 </w:t>
      </w:r>
      <w:r w:rsidRPr="00CA3B6B">
        <w:t>Project Goals and Objectives</w:t>
      </w:r>
      <w:bookmarkEnd w:id="16"/>
      <w:bookmarkEnd w:id="17"/>
    </w:p>
    <w:p w14:paraId="3BCF904D" w14:textId="4E1E7641" w:rsidR="00E3742A" w:rsidRDefault="00E3742A" w:rsidP="00E3742A">
      <w:pPr>
        <w:pStyle w:val="BodyText"/>
        <w:spacing w:after="0"/>
        <w:ind w:left="0"/>
        <w:rPr>
          <w:szCs w:val="22"/>
        </w:rPr>
      </w:pPr>
      <w:r>
        <w:rPr>
          <w:szCs w:val="22"/>
        </w:rPr>
        <w:t xml:space="preserve">The project goals and objectives are summarized below in </w:t>
      </w:r>
      <w:r>
        <w:rPr>
          <w:b/>
          <w:szCs w:val="22"/>
        </w:rPr>
        <w:t>Table 2</w:t>
      </w:r>
      <w:r>
        <w:rPr>
          <w:szCs w:val="22"/>
        </w:rPr>
        <w:t>, including how the data will be analyzed to answer specific questions about water quality.</w:t>
      </w:r>
    </w:p>
    <w:p w14:paraId="4A30B862" w14:textId="7B3E312B" w:rsidR="00E3742A" w:rsidRDefault="00E3742A">
      <w:pPr>
        <w:rPr>
          <w:rFonts w:cstheme="minorHAnsi"/>
          <w:b/>
          <w:szCs w:val="22"/>
        </w:rPr>
      </w:pPr>
      <w:r>
        <w:rPr>
          <w:rFonts w:cstheme="minorHAnsi"/>
          <w:b/>
          <w:szCs w:val="22"/>
        </w:rPr>
        <w:br w:type="page"/>
      </w:r>
    </w:p>
    <w:p w14:paraId="6F14FE7E" w14:textId="4F947FF0" w:rsidR="00E3742A" w:rsidRDefault="00EA12B4" w:rsidP="00E3742A">
      <w:pPr>
        <w:spacing w:before="1" w:after="3"/>
        <w:ind w:left="201"/>
        <w:rPr>
          <w:b/>
        </w:rPr>
      </w:pPr>
      <w:r w:rsidRPr="00044016">
        <w:rPr>
          <w:rFonts w:cstheme="minorHAnsi"/>
          <w:b/>
          <w:szCs w:val="22"/>
        </w:rPr>
        <w:lastRenderedPageBreak/>
        <w:t xml:space="preserve">Table </w:t>
      </w:r>
      <w:r w:rsidR="00826EE0">
        <w:rPr>
          <w:rFonts w:cstheme="minorHAnsi"/>
          <w:b/>
          <w:szCs w:val="22"/>
        </w:rPr>
        <w:t>2</w:t>
      </w:r>
      <w:r>
        <w:rPr>
          <w:rFonts w:cstheme="minorHAnsi"/>
          <w:b/>
          <w:szCs w:val="22"/>
        </w:rPr>
        <w:t xml:space="preserve">. </w:t>
      </w:r>
      <w:r w:rsidRPr="00044016">
        <w:rPr>
          <w:rFonts w:cstheme="minorHAnsi"/>
          <w:b/>
          <w:szCs w:val="22"/>
        </w:rPr>
        <w:t xml:space="preserve">Project Goals, </w:t>
      </w:r>
      <w:proofErr w:type="gramStart"/>
      <w:r w:rsidRPr="00044016">
        <w:rPr>
          <w:rFonts w:cstheme="minorHAnsi"/>
          <w:b/>
          <w:szCs w:val="22"/>
        </w:rPr>
        <w:t>Objectives</w:t>
      </w:r>
      <w:proofErr w:type="gramEnd"/>
      <w:r>
        <w:rPr>
          <w:rFonts w:cstheme="minorHAnsi"/>
          <w:b/>
          <w:szCs w:val="22"/>
        </w:rPr>
        <w:t xml:space="preserve"> and Analyses</w:t>
      </w:r>
      <w:r w:rsidR="00E3742A" w:rsidRPr="00E3742A">
        <w:rPr>
          <w:b/>
        </w:rPr>
        <w:t xml:space="preserve"> </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10"/>
        <w:gridCol w:w="3060"/>
        <w:gridCol w:w="2722"/>
      </w:tblGrid>
      <w:tr w:rsidR="00E3742A" w14:paraId="4356AD6B" w14:textId="77777777" w:rsidTr="00E3742A">
        <w:trPr>
          <w:trHeight w:hRule="exact" w:val="336"/>
          <w:jc w:val="center"/>
        </w:trPr>
        <w:tc>
          <w:tcPr>
            <w:tcW w:w="3410" w:type="dxa"/>
            <w:tcBorders>
              <w:top w:val="single" w:sz="8" w:space="0" w:color="000000"/>
              <w:left w:val="single" w:sz="8" w:space="0" w:color="000000"/>
              <w:bottom w:val="single" w:sz="8" w:space="0" w:color="000000"/>
              <w:right w:val="single" w:sz="4" w:space="0" w:color="000000"/>
            </w:tcBorders>
            <w:shd w:val="clear" w:color="auto" w:fill="D9D9D9"/>
            <w:hideMark/>
          </w:tcPr>
          <w:p w14:paraId="13742BA6" w14:textId="77777777" w:rsidR="00E3742A" w:rsidRDefault="00E3742A">
            <w:pPr>
              <w:pStyle w:val="TableParagraph"/>
              <w:spacing w:before="47"/>
              <w:ind w:left="160" w:right="164"/>
              <w:rPr>
                <w:b/>
                <w:sz w:val="18"/>
              </w:rPr>
            </w:pPr>
            <w:r>
              <w:rPr>
                <w:b/>
                <w:sz w:val="18"/>
              </w:rPr>
              <w:t>Goal</w:t>
            </w:r>
          </w:p>
        </w:tc>
        <w:tc>
          <w:tcPr>
            <w:tcW w:w="3060" w:type="dxa"/>
            <w:tcBorders>
              <w:top w:val="single" w:sz="8" w:space="0" w:color="000000"/>
              <w:left w:val="single" w:sz="4" w:space="0" w:color="000000"/>
              <w:bottom w:val="single" w:sz="8" w:space="0" w:color="000000"/>
              <w:right w:val="single" w:sz="4" w:space="0" w:color="000000"/>
            </w:tcBorders>
            <w:shd w:val="clear" w:color="auto" w:fill="D9D9D9"/>
            <w:hideMark/>
          </w:tcPr>
          <w:p w14:paraId="6ABB4D27" w14:textId="77777777" w:rsidR="00E3742A" w:rsidRDefault="00E3742A">
            <w:pPr>
              <w:pStyle w:val="TableParagraph"/>
              <w:spacing w:before="47"/>
              <w:ind w:left="800" w:right="803"/>
              <w:rPr>
                <w:b/>
                <w:sz w:val="18"/>
              </w:rPr>
            </w:pPr>
            <w:r>
              <w:rPr>
                <w:b/>
                <w:sz w:val="18"/>
              </w:rPr>
              <w:t>Objective</w:t>
            </w:r>
          </w:p>
        </w:tc>
        <w:tc>
          <w:tcPr>
            <w:tcW w:w="2722" w:type="dxa"/>
            <w:tcBorders>
              <w:top w:val="single" w:sz="8" w:space="0" w:color="000000"/>
              <w:left w:val="single" w:sz="4" w:space="0" w:color="000000"/>
              <w:bottom w:val="single" w:sz="8" w:space="0" w:color="000000"/>
              <w:right w:val="single" w:sz="8" w:space="0" w:color="000000"/>
            </w:tcBorders>
            <w:shd w:val="clear" w:color="auto" w:fill="D9D9D9"/>
            <w:hideMark/>
          </w:tcPr>
          <w:p w14:paraId="2E8BC6CF" w14:textId="77777777" w:rsidR="00E3742A" w:rsidRDefault="00E3742A">
            <w:pPr>
              <w:pStyle w:val="TableParagraph"/>
              <w:spacing w:before="47"/>
              <w:ind w:left="450"/>
              <w:jc w:val="left"/>
              <w:rPr>
                <w:b/>
                <w:sz w:val="18"/>
              </w:rPr>
            </w:pPr>
            <w:r>
              <w:rPr>
                <w:b/>
                <w:sz w:val="18"/>
              </w:rPr>
              <w:t>Data Analysis/Product</w:t>
            </w:r>
          </w:p>
        </w:tc>
      </w:tr>
      <w:tr w:rsidR="00E3742A" w14:paraId="63347CFC" w14:textId="77777777" w:rsidTr="00E3742A">
        <w:trPr>
          <w:trHeight w:hRule="exact" w:val="1393"/>
          <w:jc w:val="center"/>
        </w:trPr>
        <w:tc>
          <w:tcPr>
            <w:tcW w:w="3410" w:type="dxa"/>
            <w:tcBorders>
              <w:top w:val="single" w:sz="8" w:space="0" w:color="000000"/>
              <w:left w:val="single" w:sz="8" w:space="0" w:color="000000"/>
              <w:bottom w:val="single" w:sz="8" w:space="0" w:color="000000"/>
              <w:right w:val="single" w:sz="4" w:space="0" w:color="000000"/>
            </w:tcBorders>
            <w:vAlign w:val="center"/>
          </w:tcPr>
          <w:p w14:paraId="2EBF5DDE" w14:textId="77777777" w:rsidR="00E3742A" w:rsidRDefault="00E3742A">
            <w:pPr>
              <w:pStyle w:val="TableParagraph"/>
              <w:spacing w:before="0"/>
              <w:rPr>
                <w:sz w:val="18"/>
                <w:szCs w:val="18"/>
              </w:rPr>
            </w:pPr>
            <w:r>
              <w:rPr>
                <w:sz w:val="18"/>
                <w:szCs w:val="18"/>
              </w:rPr>
              <w:t xml:space="preserve">Evaluate current nutrient and algae concentrations on Little Bitterroot Lake and the inlet/outlet streams in context of historical data </w:t>
            </w:r>
            <w:proofErr w:type="gramStart"/>
            <w:r>
              <w:rPr>
                <w:sz w:val="18"/>
                <w:szCs w:val="18"/>
              </w:rPr>
              <w:t>in order to</w:t>
            </w:r>
            <w:proofErr w:type="gramEnd"/>
            <w:r>
              <w:rPr>
                <w:sz w:val="18"/>
                <w:szCs w:val="18"/>
              </w:rPr>
              <w:t xml:space="preserve"> analyze long term trends in water quality </w:t>
            </w:r>
          </w:p>
        </w:tc>
        <w:tc>
          <w:tcPr>
            <w:tcW w:w="3060" w:type="dxa"/>
            <w:tcBorders>
              <w:top w:val="single" w:sz="8" w:space="0" w:color="000000"/>
              <w:left w:val="single" w:sz="4" w:space="0" w:color="000000"/>
              <w:bottom w:val="single" w:sz="4" w:space="0" w:color="000000"/>
              <w:right w:val="single" w:sz="4" w:space="0" w:color="000000"/>
            </w:tcBorders>
            <w:vAlign w:val="center"/>
            <w:hideMark/>
          </w:tcPr>
          <w:p w14:paraId="7E80D74D" w14:textId="4B8BE22C" w:rsidR="00E3742A" w:rsidRDefault="00E3742A">
            <w:pPr>
              <w:pStyle w:val="TableParagraph"/>
              <w:spacing w:before="0"/>
              <w:rPr>
                <w:sz w:val="18"/>
              </w:rPr>
            </w:pPr>
            <w:r>
              <w:rPr>
                <w:sz w:val="18"/>
              </w:rPr>
              <w:t>To collect nutrient (TN, TP, NO</w:t>
            </w:r>
            <w:r>
              <w:rPr>
                <w:sz w:val="18"/>
                <w:vertAlign w:val="subscript"/>
              </w:rPr>
              <w:t>2+3</w:t>
            </w:r>
            <w:r>
              <w:rPr>
                <w:sz w:val="18"/>
              </w:rPr>
              <w:t>, NH</w:t>
            </w:r>
            <w:r>
              <w:rPr>
                <w:sz w:val="18"/>
                <w:vertAlign w:val="subscript"/>
              </w:rPr>
              <w:t>4</w:t>
            </w:r>
            <w:r>
              <w:rPr>
                <w:sz w:val="18"/>
              </w:rPr>
              <w:t>, SRP) and algae (</w:t>
            </w:r>
            <w:proofErr w:type="spellStart"/>
            <w:r w:rsidR="00766121">
              <w:rPr>
                <w:sz w:val="18"/>
              </w:rPr>
              <w:t>Chl</w:t>
            </w:r>
            <w:proofErr w:type="spellEnd"/>
            <w:r w:rsidR="002119F6">
              <w:rPr>
                <w:sz w:val="18"/>
              </w:rPr>
              <w:t xml:space="preserve"> </w:t>
            </w:r>
            <w:r w:rsidR="00766121">
              <w:rPr>
                <w:sz w:val="18"/>
              </w:rPr>
              <w:t>a</w:t>
            </w:r>
            <w:r>
              <w:rPr>
                <w:sz w:val="18"/>
              </w:rPr>
              <w:t>) concentrations at 1</w:t>
            </w:r>
            <w:r w:rsidR="00B22153">
              <w:rPr>
                <w:sz w:val="18"/>
              </w:rPr>
              <w:t>9</w:t>
            </w:r>
            <w:r>
              <w:rPr>
                <w:sz w:val="18"/>
              </w:rPr>
              <w:t xml:space="preserve"> sites during mid-summer 202</w:t>
            </w:r>
            <w:r w:rsidR="00426097">
              <w:rPr>
                <w:sz w:val="18"/>
              </w:rPr>
              <w:t>2</w:t>
            </w:r>
            <w:r>
              <w:rPr>
                <w:sz w:val="18"/>
              </w:rPr>
              <w:t xml:space="preserve"> as part of ongoing efforts to assess trends over time. </w:t>
            </w:r>
          </w:p>
        </w:tc>
        <w:tc>
          <w:tcPr>
            <w:tcW w:w="2722" w:type="dxa"/>
            <w:tcBorders>
              <w:top w:val="single" w:sz="8" w:space="0" w:color="000000"/>
              <w:left w:val="single" w:sz="4" w:space="0" w:color="000000"/>
              <w:bottom w:val="single" w:sz="4" w:space="0" w:color="000000"/>
              <w:right w:val="single" w:sz="8" w:space="0" w:color="000000"/>
            </w:tcBorders>
            <w:vAlign w:val="center"/>
          </w:tcPr>
          <w:p w14:paraId="6FCB3EC8" w14:textId="7ABD18A3" w:rsidR="00E3742A" w:rsidRDefault="00E3742A">
            <w:pPr>
              <w:pStyle w:val="TableParagraph"/>
              <w:spacing w:before="0"/>
              <w:rPr>
                <w:sz w:val="18"/>
              </w:rPr>
            </w:pPr>
            <w:r>
              <w:rPr>
                <w:sz w:val="18"/>
              </w:rPr>
              <w:t>Compare 202</w:t>
            </w:r>
            <w:r w:rsidR="00F304CB">
              <w:rPr>
                <w:sz w:val="18"/>
              </w:rPr>
              <w:t>2</w:t>
            </w:r>
            <w:r>
              <w:rPr>
                <w:sz w:val="18"/>
              </w:rPr>
              <w:t xml:space="preserve"> nutrient and chlor-a concentrations to previous results.</w:t>
            </w:r>
          </w:p>
        </w:tc>
      </w:tr>
      <w:tr w:rsidR="00E3742A" w14:paraId="07A3BC3C" w14:textId="77777777" w:rsidTr="00E3742A">
        <w:trPr>
          <w:trHeight w:hRule="exact" w:val="1534"/>
          <w:jc w:val="center"/>
        </w:trPr>
        <w:tc>
          <w:tcPr>
            <w:tcW w:w="3410" w:type="dxa"/>
            <w:tcBorders>
              <w:top w:val="single" w:sz="8" w:space="0" w:color="000000"/>
              <w:left w:val="single" w:sz="8" w:space="0" w:color="000000"/>
              <w:bottom w:val="single" w:sz="8" w:space="0" w:color="000000"/>
              <w:right w:val="single" w:sz="4" w:space="0" w:color="000000"/>
            </w:tcBorders>
            <w:vAlign w:val="center"/>
            <w:hideMark/>
          </w:tcPr>
          <w:p w14:paraId="6FABB2F9" w14:textId="77777777" w:rsidR="00E3742A" w:rsidRDefault="00E3742A">
            <w:pPr>
              <w:pStyle w:val="TableParagraph"/>
              <w:spacing w:before="0"/>
              <w:ind w:firstLine="2"/>
              <w:rPr>
                <w:sz w:val="18"/>
              </w:rPr>
            </w:pPr>
            <w:r>
              <w:rPr>
                <w:sz w:val="18"/>
              </w:rPr>
              <w:t>Assess how land-use and physiographic variables affect spatial variability in water chemistry around the lake.</w:t>
            </w:r>
          </w:p>
        </w:tc>
        <w:tc>
          <w:tcPr>
            <w:tcW w:w="3060" w:type="dxa"/>
            <w:tcBorders>
              <w:top w:val="single" w:sz="4" w:space="0" w:color="000000"/>
              <w:left w:val="single" w:sz="4" w:space="0" w:color="000000"/>
              <w:bottom w:val="single" w:sz="8" w:space="0" w:color="000000"/>
              <w:right w:val="single" w:sz="4" w:space="0" w:color="000000"/>
            </w:tcBorders>
            <w:vAlign w:val="center"/>
            <w:hideMark/>
          </w:tcPr>
          <w:p w14:paraId="28FDFC16" w14:textId="38005317" w:rsidR="00E3742A" w:rsidRDefault="00E3742A">
            <w:pPr>
              <w:pStyle w:val="TableParagraph"/>
              <w:spacing w:before="0"/>
              <w:rPr>
                <w:sz w:val="18"/>
              </w:rPr>
            </w:pPr>
            <w:r>
              <w:rPr>
                <w:sz w:val="18"/>
              </w:rPr>
              <w:t>To collect nutrient, algae, and field data from 1</w:t>
            </w:r>
            <w:r w:rsidR="00B22153">
              <w:rPr>
                <w:sz w:val="18"/>
              </w:rPr>
              <w:t>9</w:t>
            </w:r>
            <w:r>
              <w:rPr>
                <w:sz w:val="18"/>
              </w:rPr>
              <w:t xml:space="preserve"> lake and stream locations in mid-summer 202</w:t>
            </w:r>
            <w:r w:rsidR="00F304CB">
              <w:rPr>
                <w:sz w:val="18"/>
              </w:rPr>
              <w:t>2</w:t>
            </w:r>
            <w:r>
              <w:rPr>
                <w:sz w:val="18"/>
              </w:rPr>
              <w:t xml:space="preserve"> to assess spatial variability in 202</w:t>
            </w:r>
            <w:r w:rsidR="00F304CB">
              <w:rPr>
                <w:sz w:val="18"/>
              </w:rPr>
              <w:t>2</w:t>
            </w:r>
            <w:r>
              <w:rPr>
                <w:sz w:val="18"/>
              </w:rPr>
              <w:t xml:space="preserve"> and over time.</w:t>
            </w:r>
          </w:p>
        </w:tc>
        <w:tc>
          <w:tcPr>
            <w:tcW w:w="2722" w:type="dxa"/>
            <w:tcBorders>
              <w:top w:val="single" w:sz="4" w:space="0" w:color="000000"/>
              <w:left w:val="single" w:sz="4" w:space="0" w:color="000000"/>
              <w:bottom w:val="single" w:sz="8" w:space="0" w:color="000000"/>
              <w:right w:val="single" w:sz="8" w:space="0" w:color="000000"/>
            </w:tcBorders>
            <w:vAlign w:val="center"/>
            <w:hideMark/>
          </w:tcPr>
          <w:p w14:paraId="32BC94C3" w14:textId="68359E7B" w:rsidR="00E3742A" w:rsidRDefault="00E3742A">
            <w:pPr>
              <w:pStyle w:val="TableParagraph"/>
              <w:spacing w:before="0"/>
              <w:rPr>
                <w:sz w:val="18"/>
              </w:rPr>
            </w:pPr>
            <w:r>
              <w:rPr>
                <w:sz w:val="18"/>
              </w:rPr>
              <w:t>Compare 202</w:t>
            </w:r>
            <w:r w:rsidR="00F304CB">
              <w:rPr>
                <w:sz w:val="18"/>
              </w:rPr>
              <w:t>2</w:t>
            </w:r>
            <w:r>
              <w:rPr>
                <w:sz w:val="18"/>
              </w:rPr>
              <w:t xml:space="preserve"> results between sites and evaluate land-use and physiographic conditions which could influence data (construction, roads, veg removal, logging, septic influence, etc.)</w:t>
            </w:r>
          </w:p>
        </w:tc>
      </w:tr>
      <w:tr w:rsidR="00E3742A" w14:paraId="04F33A1F" w14:textId="77777777" w:rsidTr="00E3742A">
        <w:trPr>
          <w:trHeight w:hRule="exact" w:val="1249"/>
          <w:jc w:val="center"/>
        </w:trPr>
        <w:tc>
          <w:tcPr>
            <w:tcW w:w="3410" w:type="dxa"/>
            <w:tcBorders>
              <w:top w:val="single" w:sz="8" w:space="0" w:color="000000"/>
              <w:left w:val="single" w:sz="8" w:space="0" w:color="000000"/>
              <w:bottom w:val="single" w:sz="8" w:space="0" w:color="000000"/>
              <w:right w:val="single" w:sz="8" w:space="0" w:color="000000"/>
            </w:tcBorders>
            <w:vAlign w:val="center"/>
            <w:hideMark/>
          </w:tcPr>
          <w:p w14:paraId="2F78F089" w14:textId="77777777" w:rsidR="00E3742A" w:rsidRDefault="00E3742A">
            <w:pPr>
              <w:pStyle w:val="TableParagraph"/>
              <w:spacing w:before="0"/>
              <w:rPr>
                <w:sz w:val="18"/>
              </w:rPr>
            </w:pPr>
            <w:r>
              <w:rPr>
                <w:sz w:val="18"/>
              </w:rPr>
              <w:t>Evaluate the potential for aquatic invasive species (AIS) colonization in Little Bitterroot Lake based on water chemistry.</w:t>
            </w:r>
          </w:p>
        </w:tc>
        <w:tc>
          <w:tcPr>
            <w:tcW w:w="3060" w:type="dxa"/>
            <w:tcBorders>
              <w:top w:val="single" w:sz="8" w:space="0" w:color="000000"/>
              <w:left w:val="single" w:sz="8" w:space="0" w:color="000000"/>
              <w:bottom w:val="single" w:sz="8" w:space="0" w:color="000000"/>
              <w:right w:val="single" w:sz="8" w:space="0" w:color="000000"/>
            </w:tcBorders>
            <w:vAlign w:val="center"/>
            <w:hideMark/>
          </w:tcPr>
          <w:p w14:paraId="4DB08E16" w14:textId="1D042D64" w:rsidR="00E3742A" w:rsidRDefault="00E3742A">
            <w:pPr>
              <w:pStyle w:val="TableParagraph"/>
              <w:spacing w:before="0"/>
              <w:rPr>
                <w:sz w:val="18"/>
              </w:rPr>
            </w:pPr>
            <w:r>
              <w:rPr>
                <w:sz w:val="18"/>
              </w:rPr>
              <w:t>To collect water chemistry parameters from Little Bitterroot Lake in 202</w:t>
            </w:r>
            <w:r w:rsidR="00F304CB">
              <w:rPr>
                <w:sz w:val="18"/>
              </w:rPr>
              <w:t>2</w:t>
            </w:r>
            <w:r>
              <w:rPr>
                <w:sz w:val="18"/>
              </w:rPr>
              <w:t xml:space="preserve"> which indicate potential colonization from AIS (alkalinity</w:t>
            </w:r>
            <w:r w:rsidR="00280A19">
              <w:rPr>
                <w:sz w:val="18"/>
              </w:rPr>
              <w:t>, calcium,</w:t>
            </w:r>
            <w:r>
              <w:rPr>
                <w:sz w:val="18"/>
              </w:rPr>
              <w:t xml:space="preserve"> TSS).</w:t>
            </w:r>
          </w:p>
        </w:tc>
        <w:tc>
          <w:tcPr>
            <w:tcW w:w="2722" w:type="dxa"/>
            <w:tcBorders>
              <w:top w:val="single" w:sz="8" w:space="0" w:color="000000"/>
              <w:left w:val="single" w:sz="8" w:space="0" w:color="000000"/>
              <w:bottom w:val="single" w:sz="8" w:space="0" w:color="000000"/>
              <w:right w:val="single" w:sz="8" w:space="0" w:color="000000"/>
            </w:tcBorders>
            <w:vAlign w:val="center"/>
          </w:tcPr>
          <w:p w14:paraId="0947C56D" w14:textId="77777777" w:rsidR="00E3742A" w:rsidRDefault="00E3742A">
            <w:pPr>
              <w:pStyle w:val="TableParagraph"/>
              <w:spacing w:before="0"/>
              <w:rPr>
                <w:b/>
                <w:sz w:val="18"/>
              </w:rPr>
            </w:pPr>
          </w:p>
          <w:p w14:paraId="216D9B80" w14:textId="64B9332B" w:rsidR="00E3742A" w:rsidRDefault="00E3742A">
            <w:pPr>
              <w:pStyle w:val="TableParagraph"/>
              <w:spacing w:before="0"/>
              <w:rPr>
                <w:sz w:val="18"/>
              </w:rPr>
            </w:pPr>
            <w:r>
              <w:rPr>
                <w:sz w:val="18"/>
              </w:rPr>
              <w:t>Compare results from 202</w:t>
            </w:r>
            <w:r w:rsidR="00F304CB">
              <w:rPr>
                <w:sz w:val="18"/>
              </w:rPr>
              <w:t>2</w:t>
            </w:r>
            <w:r>
              <w:rPr>
                <w:sz w:val="18"/>
              </w:rPr>
              <w:t xml:space="preserve"> to published guidelines on AIS colonization.</w:t>
            </w:r>
          </w:p>
        </w:tc>
      </w:tr>
      <w:tr w:rsidR="00E3742A" w14:paraId="387A9AD2" w14:textId="77777777" w:rsidTr="00E3742A">
        <w:trPr>
          <w:trHeight w:hRule="exact" w:val="1339"/>
          <w:jc w:val="center"/>
        </w:trPr>
        <w:tc>
          <w:tcPr>
            <w:tcW w:w="3410" w:type="dxa"/>
            <w:tcBorders>
              <w:top w:val="single" w:sz="8" w:space="0" w:color="000000"/>
              <w:left w:val="single" w:sz="8" w:space="0" w:color="000000"/>
              <w:bottom w:val="single" w:sz="8" w:space="0" w:color="000000"/>
              <w:right w:val="single" w:sz="8" w:space="0" w:color="000000"/>
            </w:tcBorders>
            <w:vAlign w:val="center"/>
            <w:hideMark/>
          </w:tcPr>
          <w:p w14:paraId="020968B8" w14:textId="77777777" w:rsidR="00E3742A" w:rsidRDefault="00E3742A">
            <w:pPr>
              <w:pStyle w:val="TableParagraph"/>
              <w:spacing w:before="0"/>
              <w:rPr>
                <w:sz w:val="18"/>
              </w:rPr>
            </w:pPr>
            <w:r>
              <w:rPr>
                <w:sz w:val="18"/>
              </w:rPr>
              <w:t>Evaluate potential effects of aging septic systems on near-shore nutrient concentrations.</w:t>
            </w:r>
          </w:p>
        </w:tc>
        <w:tc>
          <w:tcPr>
            <w:tcW w:w="3060" w:type="dxa"/>
            <w:tcBorders>
              <w:top w:val="single" w:sz="8" w:space="0" w:color="000000"/>
              <w:left w:val="single" w:sz="8" w:space="0" w:color="000000"/>
              <w:bottom w:val="single" w:sz="8" w:space="0" w:color="000000"/>
              <w:right w:val="single" w:sz="8" w:space="0" w:color="000000"/>
            </w:tcBorders>
            <w:vAlign w:val="center"/>
            <w:hideMark/>
          </w:tcPr>
          <w:p w14:paraId="3E0309D3" w14:textId="77777777" w:rsidR="00E3742A" w:rsidRDefault="00E3742A">
            <w:pPr>
              <w:pStyle w:val="TableParagraph"/>
              <w:spacing w:before="0"/>
              <w:rPr>
                <w:sz w:val="18"/>
              </w:rPr>
            </w:pPr>
            <w:r>
              <w:rPr>
                <w:sz w:val="18"/>
              </w:rPr>
              <w:t xml:space="preserve">To collect nutrient and E coli samples from near-shore locations in areas with aging septic systems and dense housing development, and from inlet/outlet streams. </w:t>
            </w:r>
          </w:p>
        </w:tc>
        <w:tc>
          <w:tcPr>
            <w:tcW w:w="2722" w:type="dxa"/>
            <w:tcBorders>
              <w:top w:val="single" w:sz="8" w:space="0" w:color="000000"/>
              <w:left w:val="single" w:sz="8" w:space="0" w:color="000000"/>
              <w:bottom w:val="single" w:sz="8" w:space="0" w:color="000000"/>
              <w:right w:val="single" w:sz="8" w:space="0" w:color="000000"/>
            </w:tcBorders>
            <w:vAlign w:val="center"/>
            <w:hideMark/>
          </w:tcPr>
          <w:p w14:paraId="159CB93A" w14:textId="07B37EC9" w:rsidR="00E3742A" w:rsidRDefault="00E3742A">
            <w:pPr>
              <w:pStyle w:val="TableParagraph"/>
              <w:spacing w:before="0"/>
              <w:rPr>
                <w:sz w:val="18"/>
              </w:rPr>
            </w:pPr>
            <w:r>
              <w:rPr>
                <w:sz w:val="18"/>
              </w:rPr>
              <w:t>Compare near-shore results from 202</w:t>
            </w:r>
            <w:r w:rsidR="00F304CB">
              <w:rPr>
                <w:sz w:val="18"/>
              </w:rPr>
              <w:t>2</w:t>
            </w:r>
            <w:r>
              <w:rPr>
                <w:sz w:val="18"/>
              </w:rPr>
              <w:t xml:space="preserve"> to other lake samples and compare to base numeric water quality standards. </w:t>
            </w:r>
          </w:p>
        </w:tc>
      </w:tr>
    </w:tbl>
    <w:p w14:paraId="7F6F525A" w14:textId="52923F55" w:rsidR="00E3742A" w:rsidRDefault="00E3742A" w:rsidP="00E3742A"/>
    <w:p w14:paraId="1E0951D9" w14:textId="1AEFDFF4" w:rsidR="00E3742A" w:rsidRPr="00E3742A" w:rsidRDefault="00EA12B4" w:rsidP="00E3742A">
      <w:pPr>
        <w:pStyle w:val="Heading2"/>
      </w:pPr>
      <w:bookmarkStart w:id="18" w:name="_Toc109055207"/>
      <w:r>
        <w:t xml:space="preserve">2.2 Monitoring </w:t>
      </w:r>
      <w:r w:rsidRPr="00044016">
        <w:t>Locations</w:t>
      </w:r>
      <w:bookmarkEnd w:id="18"/>
      <w:r w:rsidRPr="00044016">
        <w:t xml:space="preserve"> </w:t>
      </w:r>
    </w:p>
    <w:p w14:paraId="1F851AD6" w14:textId="29F1AFB5" w:rsidR="00E3742A" w:rsidRDefault="00E3742A" w:rsidP="00E3742A">
      <w:pPr>
        <w:pStyle w:val="BodyText"/>
        <w:ind w:left="100" w:right="278"/>
        <w:rPr>
          <w:szCs w:val="22"/>
        </w:rPr>
      </w:pPr>
      <w:r>
        <w:rPr>
          <w:szCs w:val="22"/>
        </w:rPr>
        <w:t xml:space="preserve">Sample locations are shown in </w:t>
      </w:r>
      <w:r>
        <w:rPr>
          <w:b/>
          <w:szCs w:val="22"/>
        </w:rPr>
        <w:t xml:space="preserve">Figure 1 </w:t>
      </w:r>
      <w:r>
        <w:rPr>
          <w:szCs w:val="22"/>
        </w:rPr>
        <w:t xml:space="preserve">and listed below in </w:t>
      </w:r>
      <w:r>
        <w:rPr>
          <w:b/>
          <w:szCs w:val="22"/>
        </w:rPr>
        <w:t>Table 3</w:t>
      </w:r>
      <w:r>
        <w:rPr>
          <w:szCs w:val="22"/>
        </w:rPr>
        <w:t xml:space="preserve">. The study design includes 7 lake locations, 2 stream locations (including the inlet and outlet streams), and </w:t>
      </w:r>
      <w:r w:rsidR="00F304CB">
        <w:rPr>
          <w:szCs w:val="22"/>
        </w:rPr>
        <w:t>8</w:t>
      </w:r>
      <w:r>
        <w:rPr>
          <w:szCs w:val="22"/>
        </w:rPr>
        <w:t xml:space="preserve"> near-shore locations</w:t>
      </w:r>
      <w:r w:rsidR="00872AD1">
        <w:rPr>
          <w:szCs w:val="22"/>
        </w:rPr>
        <w:t xml:space="preserve"> (including those sampled in 2019 and 4 new sites for 2022)</w:t>
      </w:r>
      <w:r>
        <w:rPr>
          <w:szCs w:val="22"/>
        </w:rPr>
        <w:t>. Lake locations are chosen to provide spatial variability and provide information about water quality in isolated bays or near areas of development. The lake center location is near the deepest portion of the lake, which is where the lake will most likely show thermal stratification. At the lake center, samples will be collected from near the surface in the epilimnion, within the metalimnion, and within the hypolimnion. These locations have been sampled during previous monitoring efforts and provide comparability to pre-existing data. The near-shore locations were new sites added in 2019 due to concerns over septic leachate from aging septic systems. These sites will be sampled again in 202</w:t>
      </w:r>
      <w:r w:rsidR="00F304CB">
        <w:rPr>
          <w:szCs w:val="22"/>
        </w:rPr>
        <w:t>2</w:t>
      </w:r>
      <w:r>
        <w:rPr>
          <w:szCs w:val="22"/>
        </w:rPr>
        <w:t xml:space="preserve"> for nutrient parameters and E coli</w:t>
      </w:r>
      <w:r w:rsidR="00F304CB">
        <w:rPr>
          <w:szCs w:val="22"/>
        </w:rPr>
        <w:t>, but we will add 4 additional sites (to be determined) in 2022 to provide additional spatial coverage</w:t>
      </w:r>
      <w:r>
        <w:rPr>
          <w:szCs w:val="22"/>
        </w:rPr>
        <w:t xml:space="preserve">. </w:t>
      </w:r>
    </w:p>
    <w:p w14:paraId="282B5969" w14:textId="77777777" w:rsidR="00E3742A" w:rsidRDefault="00E3742A" w:rsidP="00EA12B4">
      <w:pPr>
        <w:rPr>
          <w:rFonts w:cstheme="minorHAnsi"/>
          <w:b/>
          <w:szCs w:val="22"/>
        </w:rPr>
      </w:pPr>
    </w:p>
    <w:p w14:paraId="5B26B902" w14:textId="77777777" w:rsidR="00E3742A" w:rsidRDefault="00E3742A">
      <w:pPr>
        <w:rPr>
          <w:rFonts w:cstheme="minorHAnsi"/>
          <w:b/>
          <w:szCs w:val="22"/>
        </w:rPr>
      </w:pPr>
      <w:r>
        <w:rPr>
          <w:rFonts w:cstheme="minorHAnsi"/>
          <w:b/>
          <w:szCs w:val="22"/>
        </w:rPr>
        <w:br w:type="page"/>
      </w:r>
    </w:p>
    <w:p w14:paraId="7B012F46" w14:textId="1052FFA9" w:rsidR="00E3742A" w:rsidRDefault="00EA12B4" w:rsidP="00E3742A">
      <w:pPr>
        <w:rPr>
          <w:rFonts w:cstheme="minorHAnsi"/>
          <w:b/>
          <w:szCs w:val="22"/>
        </w:rPr>
      </w:pPr>
      <w:r w:rsidRPr="00343E17">
        <w:rPr>
          <w:rFonts w:cstheme="minorHAnsi"/>
          <w:b/>
          <w:szCs w:val="22"/>
        </w:rPr>
        <w:lastRenderedPageBreak/>
        <w:t xml:space="preserve">Table </w:t>
      </w:r>
      <w:r>
        <w:rPr>
          <w:rFonts w:cstheme="minorHAnsi"/>
          <w:b/>
          <w:szCs w:val="22"/>
        </w:rPr>
        <w:t>3.</w:t>
      </w:r>
      <w:r w:rsidRPr="00343E17">
        <w:rPr>
          <w:rFonts w:cstheme="minorHAnsi"/>
          <w:b/>
          <w:szCs w:val="22"/>
        </w:rPr>
        <w:t xml:space="preserve"> </w:t>
      </w:r>
      <w:r>
        <w:rPr>
          <w:rFonts w:cstheme="minorHAnsi"/>
          <w:b/>
          <w:szCs w:val="22"/>
        </w:rPr>
        <w:t>Monitoring Locations</w:t>
      </w:r>
      <w:r w:rsidRPr="00343E17">
        <w:rPr>
          <w:rFonts w:cstheme="minorHAnsi"/>
          <w:b/>
          <w:szCs w:val="22"/>
        </w:rPr>
        <w:t>*</w:t>
      </w:r>
      <w:r w:rsidR="00E3742A" w:rsidRPr="00E3742A">
        <w:rPr>
          <w:rFonts w:cstheme="minorHAnsi"/>
          <w:b/>
          <w:szCs w:val="22"/>
        </w:rPr>
        <w:t xml:space="preserve"> </w:t>
      </w:r>
    </w:p>
    <w:tbl>
      <w:tblPr>
        <w:tblW w:w="9720" w:type="dxa"/>
        <w:tblInd w:w="-10" w:type="dxa"/>
        <w:tblLook w:val="04A0" w:firstRow="1" w:lastRow="0" w:firstColumn="1" w:lastColumn="0" w:noHBand="0" w:noVBand="1"/>
      </w:tblPr>
      <w:tblGrid>
        <w:gridCol w:w="990"/>
        <w:gridCol w:w="2370"/>
        <w:gridCol w:w="990"/>
        <w:gridCol w:w="1127"/>
        <w:gridCol w:w="2032"/>
        <w:gridCol w:w="2211"/>
      </w:tblGrid>
      <w:tr w:rsidR="00E3742A" w14:paraId="653D84F5" w14:textId="77777777" w:rsidTr="00E3742A">
        <w:trPr>
          <w:trHeight w:hRule="exact" w:val="270"/>
        </w:trPr>
        <w:tc>
          <w:tcPr>
            <w:tcW w:w="990" w:type="dxa"/>
            <w:tcBorders>
              <w:top w:val="single" w:sz="8" w:space="0" w:color="000000"/>
              <w:left w:val="single" w:sz="8" w:space="0" w:color="000000"/>
              <w:bottom w:val="single" w:sz="8" w:space="0" w:color="000000"/>
              <w:right w:val="single" w:sz="8" w:space="0" w:color="000000"/>
            </w:tcBorders>
            <w:shd w:val="clear" w:color="auto" w:fill="D7D7D7"/>
            <w:vAlign w:val="center"/>
            <w:hideMark/>
          </w:tcPr>
          <w:p w14:paraId="777F853D" w14:textId="77777777" w:rsidR="00E3742A" w:rsidRDefault="00E3742A">
            <w:pPr>
              <w:jc w:val="center"/>
              <w:rPr>
                <w:rFonts w:ascii="Calibri" w:hAnsi="Calibri"/>
                <w:b/>
                <w:bCs/>
                <w:color w:val="000000"/>
              </w:rPr>
            </w:pPr>
            <w:r>
              <w:rPr>
                <w:rFonts w:ascii="Calibri" w:hAnsi="Calibri"/>
                <w:b/>
                <w:bCs/>
                <w:color w:val="000000"/>
                <w:szCs w:val="22"/>
              </w:rPr>
              <w:t>Site ID</w:t>
            </w:r>
          </w:p>
        </w:tc>
        <w:tc>
          <w:tcPr>
            <w:tcW w:w="2370" w:type="dxa"/>
            <w:tcBorders>
              <w:top w:val="single" w:sz="8" w:space="0" w:color="000000"/>
              <w:left w:val="nil"/>
              <w:bottom w:val="single" w:sz="8" w:space="0" w:color="000000"/>
              <w:right w:val="single" w:sz="8" w:space="0" w:color="000000"/>
            </w:tcBorders>
            <w:shd w:val="clear" w:color="auto" w:fill="D7D7D7"/>
            <w:vAlign w:val="center"/>
            <w:hideMark/>
          </w:tcPr>
          <w:p w14:paraId="72277C41" w14:textId="77777777" w:rsidR="00E3742A" w:rsidRDefault="00E3742A">
            <w:pPr>
              <w:jc w:val="center"/>
              <w:rPr>
                <w:rFonts w:ascii="Calibri" w:hAnsi="Calibri"/>
                <w:b/>
                <w:bCs/>
                <w:color w:val="000000"/>
              </w:rPr>
            </w:pPr>
            <w:r>
              <w:rPr>
                <w:rFonts w:ascii="Calibri" w:hAnsi="Calibri"/>
                <w:b/>
                <w:bCs/>
                <w:color w:val="000000"/>
                <w:szCs w:val="22"/>
              </w:rPr>
              <w:t>Site Description</w:t>
            </w:r>
          </w:p>
        </w:tc>
        <w:tc>
          <w:tcPr>
            <w:tcW w:w="990" w:type="dxa"/>
            <w:tcBorders>
              <w:top w:val="single" w:sz="8" w:space="0" w:color="000000"/>
              <w:left w:val="nil"/>
              <w:bottom w:val="single" w:sz="8" w:space="0" w:color="000000"/>
              <w:right w:val="single" w:sz="8" w:space="0" w:color="000000"/>
            </w:tcBorders>
            <w:shd w:val="clear" w:color="auto" w:fill="D7D7D7"/>
            <w:vAlign w:val="center"/>
            <w:hideMark/>
          </w:tcPr>
          <w:p w14:paraId="6FD6B6A2" w14:textId="77777777" w:rsidR="00E3742A" w:rsidRDefault="00E3742A">
            <w:pPr>
              <w:jc w:val="center"/>
              <w:rPr>
                <w:rFonts w:ascii="Calibri" w:hAnsi="Calibri"/>
                <w:b/>
                <w:bCs/>
                <w:color w:val="000000"/>
              </w:rPr>
            </w:pPr>
            <w:r>
              <w:rPr>
                <w:rFonts w:ascii="Calibri" w:hAnsi="Calibri"/>
                <w:b/>
                <w:bCs/>
                <w:color w:val="000000"/>
                <w:szCs w:val="22"/>
              </w:rPr>
              <w:t>Latitude</w:t>
            </w:r>
          </w:p>
        </w:tc>
        <w:tc>
          <w:tcPr>
            <w:tcW w:w="1127" w:type="dxa"/>
            <w:tcBorders>
              <w:top w:val="single" w:sz="8" w:space="0" w:color="000000"/>
              <w:left w:val="nil"/>
              <w:bottom w:val="single" w:sz="8" w:space="0" w:color="000000"/>
              <w:right w:val="single" w:sz="8" w:space="0" w:color="000000"/>
            </w:tcBorders>
            <w:shd w:val="clear" w:color="auto" w:fill="D7D7D7"/>
            <w:vAlign w:val="center"/>
            <w:hideMark/>
          </w:tcPr>
          <w:p w14:paraId="1B2949C8" w14:textId="77777777" w:rsidR="00E3742A" w:rsidRDefault="00E3742A">
            <w:pPr>
              <w:jc w:val="center"/>
              <w:rPr>
                <w:rFonts w:ascii="Calibri" w:hAnsi="Calibri"/>
                <w:b/>
                <w:bCs/>
                <w:color w:val="000000"/>
              </w:rPr>
            </w:pPr>
            <w:r>
              <w:rPr>
                <w:rFonts w:ascii="Calibri" w:hAnsi="Calibri"/>
                <w:b/>
                <w:bCs/>
                <w:color w:val="000000"/>
                <w:szCs w:val="22"/>
              </w:rPr>
              <w:t>Longitude</w:t>
            </w:r>
          </w:p>
        </w:tc>
        <w:tc>
          <w:tcPr>
            <w:tcW w:w="2032" w:type="dxa"/>
            <w:tcBorders>
              <w:top w:val="single" w:sz="8" w:space="0" w:color="000000"/>
              <w:left w:val="nil"/>
              <w:bottom w:val="single" w:sz="8" w:space="0" w:color="000000"/>
              <w:right w:val="single" w:sz="8" w:space="0" w:color="000000"/>
            </w:tcBorders>
            <w:shd w:val="clear" w:color="auto" w:fill="D7D7D7"/>
            <w:vAlign w:val="center"/>
            <w:hideMark/>
          </w:tcPr>
          <w:p w14:paraId="1A004AE9" w14:textId="77777777" w:rsidR="00E3742A" w:rsidRDefault="00E3742A">
            <w:pPr>
              <w:jc w:val="center"/>
              <w:rPr>
                <w:rFonts w:ascii="Calibri" w:hAnsi="Calibri"/>
                <w:b/>
                <w:bCs/>
                <w:color w:val="000000"/>
              </w:rPr>
            </w:pPr>
            <w:r>
              <w:rPr>
                <w:rFonts w:ascii="Calibri" w:hAnsi="Calibri"/>
                <w:b/>
                <w:bCs/>
                <w:color w:val="000000"/>
                <w:szCs w:val="22"/>
              </w:rPr>
              <w:t>Parameters</w:t>
            </w:r>
          </w:p>
        </w:tc>
        <w:tc>
          <w:tcPr>
            <w:tcW w:w="2211" w:type="dxa"/>
            <w:tcBorders>
              <w:top w:val="single" w:sz="8" w:space="0" w:color="000000"/>
              <w:left w:val="nil"/>
              <w:bottom w:val="single" w:sz="8" w:space="0" w:color="000000"/>
              <w:right w:val="single" w:sz="8" w:space="0" w:color="000000"/>
            </w:tcBorders>
            <w:shd w:val="clear" w:color="auto" w:fill="D7D7D7"/>
            <w:vAlign w:val="center"/>
            <w:hideMark/>
          </w:tcPr>
          <w:p w14:paraId="18468A8A" w14:textId="77777777" w:rsidR="00E3742A" w:rsidRDefault="00E3742A">
            <w:pPr>
              <w:jc w:val="center"/>
              <w:rPr>
                <w:rFonts w:ascii="Calibri" w:hAnsi="Calibri"/>
                <w:b/>
                <w:bCs/>
                <w:color w:val="000000"/>
              </w:rPr>
            </w:pPr>
            <w:r>
              <w:rPr>
                <w:rFonts w:ascii="Calibri" w:hAnsi="Calibri"/>
                <w:b/>
                <w:bCs/>
                <w:color w:val="000000"/>
                <w:szCs w:val="22"/>
              </w:rPr>
              <w:t>Rationale</w:t>
            </w:r>
          </w:p>
        </w:tc>
      </w:tr>
      <w:tr w:rsidR="00E3742A" w14:paraId="34B345E5" w14:textId="77777777" w:rsidTr="00E3742A">
        <w:trPr>
          <w:trHeight w:hRule="exact" w:val="270"/>
        </w:trPr>
        <w:tc>
          <w:tcPr>
            <w:tcW w:w="990" w:type="dxa"/>
            <w:tcBorders>
              <w:top w:val="nil"/>
              <w:left w:val="single" w:sz="8" w:space="0" w:color="000000"/>
              <w:bottom w:val="single" w:sz="8" w:space="0" w:color="000000"/>
              <w:right w:val="single" w:sz="8" w:space="0" w:color="000000"/>
            </w:tcBorders>
            <w:vAlign w:val="center"/>
            <w:hideMark/>
          </w:tcPr>
          <w:p w14:paraId="04228705" w14:textId="77777777" w:rsidR="00E3742A" w:rsidRDefault="00E3742A">
            <w:pPr>
              <w:jc w:val="center"/>
              <w:rPr>
                <w:rFonts w:ascii="Calibri" w:hAnsi="Calibri"/>
                <w:color w:val="000000"/>
              </w:rPr>
            </w:pPr>
            <w:r>
              <w:rPr>
                <w:rFonts w:ascii="Calibri" w:hAnsi="Calibri"/>
                <w:color w:val="000000"/>
                <w:szCs w:val="22"/>
              </w:rPr>
              <w:t>SP-7</w:t>
            </w:r>
          </w:p>
        </w:tc>
        <w:tc>
          <w:tcPr>
            <w:tcW w:w="2370" w:type="dxa"/>
            <w:tcBorders>
              <w:top w:val="nil"/>
              <w:left w:val="nil"/>
              <w:bottom w:val="single" w:sz="8" w:space="0" w:color="000000"/>
              <w:right w:val="single" w:sz="8" w:space="0" w:color="000000"/>
            </w:tcBorders>
            <w:vAlign w:val="center"/>
            <w:hideMark/>
          </w:tcPr>
          <w:p w14:paraId="3BA28064" w14:textId="77777777" w:rsidR="00E3742A" w:rsidRDefault="00E3742A">
            <w:pPr>
              <w:jc w:val="center"/>
              <w:rPr>
                <w:rFonts w:ascii="Calibri" w:hAnsi="Calibri"/>
                <w:color w:val="000000"/>
              </w:rPr>
            </w:pPr>
            <w:r>
              <w:rPr>
                <w:rFonts w:ascii="Calibri" w:hAnsi="Calibri"/>
                <w:color w:val="000000"/>
                <w:szCs w:val="22"/>
              </w:rPr>
              <w:t xml:space="preserve">Inlet - </w:t>
            </w:r>
            <w:proofErr w:type="spellStart"/>
            <w:r>
              <w:rPr>
                <w:rFonts w:ascii="Calibri" w:hAnsi="Calibri"/>
                <w:color w:val="000000"/>
                <w:szCs w:val="22"/>
              </w:rPr>
              <w:t>Herrig</w:t>
            </w:r>
            <w:proofErr w:type="spellEnd"/>
            <w:r>
              <w:rPr>
                <w:rFonts w:ascii="Calibri" w:hAnsi="Calibri"/>
                <w:color w:val="000000"/>
                <w:szCs w:val="22"/>
              </w:rPr>
              <w:t xml:space="preserve"> Cr.</w:t>
            </w:r>
          </w:p>
        </w:tc>
        <w:tc>
          <w:tcPr>
            <w:tcW w:w="990" w:type="dxa"/>
            <w:tcBorders>
              <w:top w:val="nil"/>
              <w:left w:val="nil"/>
              <w:bottom w:val="single" w:sz="8" w:space="0" w:color="000000"/>
              <w:right w:val="single" w:sz="8" w:space="0" w:color="000000"/>
            </w:tcBorders>
            <w:vAlign w:val="center"/>
            <w:hideMark/>
          </w:tcPr>
          <w:p w14:paraId="6424514C" w14:textId="77777777" w:rsidR="00E3742A" w:rsidRDefault="00E3742A">
            <w:pPr>
              <w:jc w:val="center"/>
              <w:rPr>
                <w:rFonts w:ascii="Calibri" w:hAnsi="Calibri"/>
                <w:color w:val="000000"/>
              </w:rPr>
            </w:pPr>
            <w:r>
              <w:rPr>
                <w:rFonts w:ascii="Calibri" w:hAnsi="Calibri"/>
                <w:color w:val="000000"/>
                <w:szCs w:val="22"/>
              </w:rPr>
              <w:t>48.1392</w:t>
            </w:r>
          </w:p>
        </w:tc>
        <w:tc>
          <w:tcPr>
            <w:tcW w:w="1127" w:type="dxa"/>
            <w:tcBorders>
              <w:top w:val="nil"/>
              <w:left w:val="nil"/>
              <w:bottom w:val="single" w:sz="8" w:space="0" w:color="000000"/>
              <w:right w:val="single" w:sz="8" w:space="0" w:color="000000"/>
            </w:tcBorders>
            <w:vAlign w:val="center"/>
            <w:hideMark/>
          </w:tcPr>
          <w:p w14:paraId="604FA9B3" w14:textId="40CDAB4E" w:rsidR="00E3742A" w:rsidRDefault="00E60B6B">
            <w:pPr>
              <w:jc w:val="center"/>
              <w:rPr>
                <w:rFonts w:ascii="Calibri" w:hAnsi="Calibri"/>
                <w:color w:val="000000"/>
              </w:rPr>
            </w:pPr>
            <w:r>
              <w:rPr>
                <w:rFonts w:ascii="Calibri" w:hAnsi="Calibri"/>
                <w:color w:val="000000"/>
                <w:szCs w:val="22"/>
              </w:rPr>
              <w:t>-</w:t>
            </w:r>
            <w:r w:rsidR="00E3742A">
              <w:rPr>
                <w:rFonts w:ascii="Calibri" w:hAnsi="Calibri"/>
                <w:color w:val="000000"/>
                <w:szCs w:val="22"/>
              </w:rPr>
              <w:t>114.7127</w:t>
            </w:r>
          </w:p>
        </w:tc>
        <w:tc>
          <w:tcPr>
            <w:tcW w:w="2032" w:type="dxa"/>
            <w:tcBorders>
              <w:top w:val="nil"/>
              <w:left w:val="nil"/>
              <w:bottom w:val="single" w:sz="8" w:space="0" w:color="000000"/>
              <w:right w:val="single" w:sz="8" w:space="0" w:color="000000"/>
            </w:tcBorders>
            <w:vAlign w:val="center"/>
            <w:hideMark/>
          </w:tcPr>
          <w:p w14:paraId="6B2E10BD" w14:textId="3F9A383D" w:rsidR="00E3742A" w:rsidRPr="0071644B" w:rsidRDefault="00E3742A">
            <w:pPr>
              <w:jc w:val="center"/>
              <w:rPr>
                <w:rFonts w:ascii="Calibri" w:hAnsi="Calibri"/>
                <w:color w:val="000000"/>
                <w:lang w:val="es-ES"/>
              </w:rPr>
            </w:pPr>
            <w:r w:rsidRPr="0071644B">
              <w:rPr>
                <w:rFonts w:ascii="Calibri" w:hAnsi="Calibri"/>
                <w:color w:val="000000"/>
                <w:szCs w:val="22"/>
                <w:lang w:val="es-ES"/>
              </w:rPr>
              <w:t>N/F/TSS/DOC/A/E</w:t>
            </w:r>
          </w:p>
        </w:tc>
        <w:tc>
          <w:tcPr>
            <w:tcW w:w="2211" w:type="dxa"/>
            <w:tcBorders>
              <w:top w:val="nil"/>
              <w:left w:val="nil"/>
              <w:bottom w:val="single" w:sz="8" w:space="0" w:color="000000"/>
              <w:right w:val="single" w:sz="8" w:space="0" w:color="000000"/>
            </w:tcBorders>
            <w:vAlign w:val="center"/>
            <w:hideMark/>
          </w:tcPr>
          <w:p w14:paraId="61452542" w14:textId="77777777" w:rsidR="00E3742A" w:rsidRDefault="00E3742A">
            <w:pPr>
              <w:jc w:val="center"/>
              <w:rPr>
                <w:rFonts w:ascii="Calibri" w:hAnsi="Calibri"/>
                <w:color w:val="000000"/>
              </w:rPr>
            </w:pPr>
            <w:r>
              <w:rPr>
                <w:rFonts w:ascii="Calibri" w:hAnsi="Calibri"/>
                <w:color w:val="000000"/>
                <w:szCs w:val="22"/>
              </w:rPr>
              <w:t>Inlet</w:t>
            </w:r>
          </w:p>
        </w:tc>
      </w:tr>
      <w:tr w:rsidR="00E3742A" w14:paraId="28718FDE" w14:textId="77777777" w:rsidTr="00E3742A">
        <w:trPr>
          <w:trHeight w:hRule="exact" w:val="270"/>
        </w:trPr>
        <w:tc>
          <w:tcPr>
            <w:tcW w:w="990" w:type="dxa"/>
            <w:tcBorders>
              <w:top w:val="nil"/>
              <w:left w:val="single" w:sz="8" w:space="0" w:color="000000"/>
              <w:bottom w:val="single" w:sz="8" w:space="0" w:color="000000"/>
              <w:right w:val="single" w:sz="8" w:space="0" w:color="000000"/>
            </w:tcBorders>
            <w:vAlign w:val="center"/>
            <w:hideMark/>
          </w:tcPr>
          <w:p w14:paraId="5C8D31C4" w14:textId="77777777" w:rsidR="00E3742A" w:rsidRDefault="00E3742A">
            <w:pPr>
              <w:jc w:val="center"/>
              <w:rPr>
                <w:rFonts w:ascii="Calibri" w:hAnsi="Calibri"/>
                <w:color w:val="000000"/>
              </w:rPr>
            </w:pPr>
            <w:r>
              <w:rPr>
                <w:rFonts w:ascii="Calibri" w:hAnsi="Calibri"/>
                <w:color w:val="000000"/>
                <w:szCs w:val="22"/>
              </w:rPr>
              <w:t>SP-2</w:t>
            </w:r>
          </w:p>
        </w:tc>
        <w:tc>
          <w:tcPr>
            <w:tcW w:w="2370" w:type="dxa"/>
            <w:tcBorders>
              <w:top w:val="nil"/>
              <w:left w:val="nil"/>
              <w:bottom w:val="single" w:sz="8" w:space="0" w:color="000000"/>
              <w:right w:val="single" w:sz="8" w:space="0" w:color="000000"/>
            </w:tcBorders>
            <w:vAlign w:val="center"/>
            <w:hideMark/>
          </w:tcPr>
          <w:p w14:paraId="2FBB024C" w14:textId="77777777" w:rsidR="00E3742A" w:rsidRDefault="00E3742A">
            <w:pPr>
              <w:jc w:val="center"/>
              <w:rPr>
                <w:rFonts w:ascii="Calibri" w:hAnsi="Calibri"/>
                <w:color w:val="000000"/>
              </w:rPr>
            </w:pPr>
            <w:proofErr w:type="spellStart"/>
            <w:r>
              <w:rPr>
                <w:rFonts w:ascii="Calibri" w:hAnsi="Calibri"/>
                <w:color w:val="000000"/>
                <w:szCs w:val="22"/>
              </w:rPr>
              <w:t>Herrig</w:t>
            </w:r>
            <w:proofErr w:type="spellEnd"/>
            <w:r>
              <w:rPr>
                <w:rFonts w:ascii="Calibri" w:hAnsi="Calibri"/>
                <w:color w:val="000000"/>
                <w:szCs w:val="22"/>
              </w:rPr>
              <w:t xml:space="preserve"> Cr. Bay</w:t>
            </w:r>
          </w:p>
        </w:tc>
        <w:tc>
          <w:tcPr>
            <w:tcW w:w="990" w:type="dxa"/>
            <w:tcBorders>
              <w:top w:val="nil"/>
              <w:left w:val="nil"/>
              <w:bottom w:val="single" w:sz="8" w:space="0" w:color="000000"/>
              <w:right w:val="single" w:sz="8" w:space="0" w:color="000000"/>
            </w:tcBorders>
            <w:vAlign w:val="center"/>
            <w:hideMark/>
          </w:tcPr>
          <w:p w14:paraId="3453EC23" w14:textId="77777777" w:rsidR="00E3742A" w:rsidRDefault="00E3742A">
            <w:pPr>
              <w:jc w:val="center"/>
              <w:rPr>
                <w:rFonts w:ascii="Calibri" w:hAnsi="Calibri"/>
                <w:color w:val="000000"/>
              </w:rPr>
            </w:pPr>
            <w:r>
              <w:rPr>
                <w:rFonts w:ascii="Calibri" w:hAnsi="Calibri"/>
                <w:color w:val="000000"/>
                <w:szCs w:val="22"/>
              </w:rPr>
              <w:t>48.1371</w:t>
            </w:r>
          </w:p>
        </w:tc>
        <w:tc>
          <w:tcPr>
            <w:tcW w:w="1127" w:type="dxa"/>
            <w:tcBorders>
              <w:top w:val="nil"/>
              <w:left w:val="nil"/>
              <w:bottom w:val="single" w:sz="8" w:space="0" w:color="000000"/>
              <w:right w:val="single" w:sz="8" w:space="0" w:color="000000"/>
            </w:tcBorders>
            <w:vAlign w:val="center"/>
            <w:hideMark/>
          </w:tcPr>
          <w:p w14:paraId="1296BBFB" w14:textId="751EF2E4" w:rsidR="00E3742A" w:rsidRDefault="00E60B6B">
            <w:pPr>
              <w:jc w:val="center"/>
              <w:rPr>
                <w:rFonts w:ascii="Calibri" w:hAnsi="Calibri"/>
                <w:color w:val="000000"/>
              </w:rPr>
            </w:pPr>
            <w:r>
              <w:rPr>
                <w:rFonts w:ascii="Calibri" w:hAnsi="Calibri"/>
                <w:color w:val="000000"/>
                <w:szCs w:val="22"/>
              </w:rPr>
              <w:t>-</w:t>
            </w:r>
            <w:r w:rsidR="00E3742A">
              <w:rPr>
                <w:rFonts w:ascii="Calibri" w:hAnsi="Calibri"/>
                <w:color w:val="000000"/>
                <w:szCs w:val="22"/>
              </w:rPr>
              <w:t>114.7162</w:t>
            </w:r>
          </w:p>
        </w:tc>
        <w:tc>
          <w:tcPr>
            <w:tcW w:w="2032" w:type="dxa"/>
            <w:tcBorders>
              <w:top w:val="nil"/>
              <w:left w:val="nil"/>
              <w:bottom w:val="single" w:sz="8" w:space="0" w:color="000000"/>
              <w:right w:val="single" w:sz="8" w:space="0" w:color="000000"/>
            </w:tcBorders>
            <w:vAlign w:val="center"/>
            <w:hideMark/>
          </w:tcPr>
          <w:p w14:paraId="3BB647AD" w14:textId="77777777" w:rsidR="00E3742A" w:rsidRDefault="00E3742A">
            <w:pPr>
              <w:jc w:val="center"/>
              <w:rPr>
                <w:rFonts w:ascii="Calibri" w:hAnsi="Calibri"/>
                <w:color w:val="000000"/>
              </w:rPr>
            </w:pPr>
            <w:r>
              <w:rPr>
                <w:rFonts w:ascii="Calibri" w:hAnsi="Calibri"/>
                <w:color w:val="000000"/>
                <w:szCs w:val="22"/>
              </w:rPr>
              <w:t>N/F/CW</w:t>
            </w:r>
          </w:p>
        </w:tc>
        <w:tc>
          <w:tcPr>
            <w:tcW w:w="2211" w:type="dxa"/>
            <w:tcBorders>
              <w:top w:val="nil"/>
              <w:left w:val="nil"/>
              <w:bottom w:val="single" w:sz="8" w:space="0" w:color="000000"/>
              <w:right w:val="single" w:sz="8" w:space="0" w:color="000000"/>
            </w:tcBorders>
            <w:vAlign w:val="center"/>
            <w:hideMark/>
          </w:tcPr>
          <w:p w14:paraId="5AE89A3A" w14:textId="77777777" w:rsidR="00E3742A" w:rsidRDefault="00E3742A">
            <w:pPr>
              <w:jc w:val="center"/>
              <w:rPr>
                <w:rFonts w:ascii="Calibri" w:hAnsi="Calibri"/>
                <w:color w:val="000000"/>
              </w:rPr>
            </w:pPr>
            <w:r>
              <w:rPr>
                <w:rFonts w:ascii="Calibri" w:hAnsi="Calibri"/>
                <w:color w:val="000000"/>
                <w:szCs w:val="22"/>
              </w:rPr>
              <w:t>Bay near Inlet</w:t>
            </w:r>
          </w:p>
        </w:tc>
      </w:tr>
      <w:tr w:rsidR="00E3742A" w14:paraId="24C93911" w14:textId="77777777" w:rsidTr="00E3742A">
        <w:trPr>
          <w:trHeight w:hRule="exact" w:val="270"/>
        </w:trPr>
        <w:tc>
          <w:tcPr>
            <w:tcW w:w="990" w:type="dxa"/>
            <w:tcBorders>
              <w:top w:val="nil"/>
              <w:left w:val="single" w:sz="8" w:space="0" w:color="000000"/>
              <w:bottom w:val="single" w:sz="8" w:space="0" w:color="000000"/>
              <w:right w:val="single" w:sz="8" w:space="0" w:color="000000"/>
            </w:tcBorders>
            <w:vAlign w:val="center"/>
            <w:hideMark/>
          </w:tcPr>
          <w:p w14:paraId="27A90799" w14:textId="77777777" w:rsidR="00E3742A" w:rsidRDefault="00E3742A">
            <w:pPr>
              <w:jc w:val="center"/>
              <w:rPr>
                <w:rFonts w:ascii="Calibri" w:hAnsi="Calibri"/>
                <w:color w:val="000000"/>
              </w:rPr>
            </w:pPr>
            <w:r>
              <w:rPr>
                <w:rFonts w:ascii="Calibri" w:hAnsi="Calibri"/>
                <w:color w:val="000000"/>
                <w:szCs w:val="22"/>
              </w:rPr>
              <w:t>SP-10</w:t>
            </w:r>
          </w:p>
        </w:tc>
        <w:tc>
          <w:tcPr>
            <w:tcW w:w="2370" w:type="dxa"/>
            <w:tcBorders>
              <w:top w:val="nil"/>
              <w:left w:val="nil"/>
              <w:bottom w:val="single" w:sz="8" w:space="0" w:color="000000"/>
              <w:right w:val="single" w:sz="8" w:space="0" w:color="000000"/>
            </w:tcBorders>
            <w:vAlign w:val="center"/>
            <w:hideMark/>
          </w:tcPr>
          <w:p w14:paraId="1A954B28" w14:textId="77777777" w:rsidR="00E3742A" w:rsidRDefault="00E3742A">
            <w:pPr>
              <w:jc w:val="center"/>
              <w:rPr>
                <w:rFonts w:ascii="Calibri" w:hAnsi="Calibri"/>
                <w:color w:val="000000"/>
              </w:rPr>
            </w:pPr>
            <w:r>
              <w:rPr>
                <w:rFonts w:ascii="Calibri" w:hAnsi="Calibri"/>
                <w:color w:val="000000"/>
                <w:szCs w:val="22"/>
              </w:rPr>
              <w:t>Northwest Bay</w:t>
            </w:r>
          </w:p>
        </w:tc>
        <w:tc>
          <w:tcPr>
            <w:tcW w:w="990" w:type="dxa"/>
            <w:tcBorders>
              <w:top w:val="nil"/>
              <w:left w:val="nil"/>
              <w:bottom w:val="single" w:sz="8" w:space="0" w:color="000000"/>
              <w:right w:val="single" w:sz="8" w:space="0" w:color="000000"/>
            </w:tcBorders>
            <w:vAlign w:val="center"/>
            <w:hideMark/>
          </w:tcPr>
          <w:p w14:paraId="6C70F773" w14:textId="77777777" w:rsidR="00E3742A" w:rsidRDefault="00E3742A">
            <w:pPr>
              <w:jc w:val="center"/>
              <w:rPr>
                <w:rFonts w:ascii="Calibri" w:hAnsi="Calibri"/>
                <w:color w:val="000000"/>
              </w:rPr>
            </w:pPr>
            <w:r>
              <w:rPr>
                <w:rFonts w:ascii="Calibri" w:hAnsi="Calibri"/>
                <w:color w:val="000000"/>
                <w:szCs w:val="22"/>
              </w:rPr>
              <w:t>48.1378</w:t>
            </w:r>
          </w:p>
        </w:tc>
        <w:tc>
          <w:tcPr>
            <w:tcW w:w="1127" w:type="dxa"/>
            <w:tcBorders>
              <w:top w:val="nil"/>
              <w:left w:val="nil"/>
              <w:bottom w:val="single" w:sz="8" w:space="0" w:color="000000"/>
              <w:right w:val="single" w:sz="8" w:space="0" w:color="000000"/>
            </w:tcBorders>
            <w:vAlign w:val="center"/>
            <w:hideMark/>
          </w:tcPr>
          <w:p w14:paraId="44D1E047" w14:textId="7BFE234C" w:rsidR="00E3742A" w:rsidRDefault="00E60B6B">
            <w:pPr>
              <w:jc w:val="center"/>
              <w:rPr>
                <w:rFonts w:ascii="Calibri" w:hAnsi="Calibri"/>
                <w:color w:val="000000"/>
              </w:rPr>
            </w:pPr>
            <w:r>
              <w:rPr>
                <w:rFonts w:ascii="Calibri" w:hAnsi="Calibri"/>
                <w:color w:val="000000"/>
                <w:szCs w:val="22"/>
              </w:rPr>
              <w:t>-</w:t>
            </w:r>
            <w:r w:rsidR="00E3742A">
              <w:rPr>
                <w:rFonts w:ascii="Calibri" w:hAnsi="Calibri"/>
                <w:color w:val="000000"/>
                <w:szCs w:val="22"/>
              </w:rPr>
              <w:t>114.7317</w:t>
            </w:r>
          </w:p>
        </w:tc>
        <w:tc>
          <w:tcPr>
            <w:tcW w:w="2032" w:type="dxa"/>
            <w:tcBorders>
              <w:top w:val="nil"/>
              <w:left w:val="nil"/>
              <w:bottom w:val="single" w:sz="8" w:space="0" w:color="000000"/>
              <w:right w:val="single" w:sz="8" w:space="0" w:color="000000"/>
            </w:tcBorders>
            <w:vAlign w:val="center"/>
            <w:hideMark/>
          </w:tcPr>
          <w:p w14:paraId="4295D40B" w14:textId="77777777" w:rsidR="00E3742A" w:rsidRDefault="00E3742A">
            <w:pPr>
              <w:jc w:val="center"/>
              <w:rPr>
                <w:rFonts w:ascii="Calibri" w:hAnsi="Calibri"/>
                <w:color w:val="000000"/>
              </w:rPr>
            </w:pPr>
            <w:r>
              <w:rPr>
                <w:rFonts w:ascii="Calibri" w:hAnsi="Calibri"/>
                <w:color w:val="000000"/>
                <w:szCs w:val="22"/>
              </w:rPr>
              <w:t>N/F/CW</w:t>
            </w:r>
          </w:p>
        </w:tc>
        <w:tc>
          <w:tcPr>
            <w:tcW w:w="2211" w:type="dxa"/>
            <w:tcBorders>
              <w:top w:val="nil"/>
              <w:left w:val="nil"/>
              <w:bottom w:val="single" w:sz="8" w:space="0" w:color="000000"/>
              <w:right w:val="single" w:sz="8" w:space="0" w:color="000000"/>
            </w:tcBorders>
            <w:vAlign w:val="center"/>
            <w:hideMark/>
          </w:tcPr>
          <w:p w14:paraId="08F47215" w14:textId="77777777" w:rsidR="00E3742A" w:rsidRDefault="00E3742A">
            <w:pPr>
              <w:jc w:val="center"/>
              <w:rPr>
                <w:rFonts w:ascii="Calibri" w:hAnsi="Calibri"/>
                <w:color w:val="000000"/>
              </w:rPr>
            </w:pPr>
            <w:r>
              <w:rPr>
                <w:rFonts w:ascii="Calibri" w:hAnsi="Calibri"/>
                <w:color w:val="000000"/>
                <w:szCs w:val="22"/>
              </w:rPr>
              <w:t>Shallow Isolated Bay</w:t>
            </w:r>
          </w:p>
        </w:tc>
      </w:tr>
      <w:tr w:rsidR="00E3742A" w14:paraId="10737FEE" w14:textId="77777777" w:rsidTr="00E3742A">
        <w:trPr>
          <w:trHeight w:hRule="exact" w:val="270"/>
        </w:trPr>
        <w:tc>
          <w:tcPr>
            <w:tcW w:w="990" w:type="dxa"/>
            <w:tcBorders>
              <w:top w:val="nil"/>
              <w:left w:val="single" w:sz="8" w:space="0" w:color="000000"/>
              <w:bottom w:val="single" w:sz="8" w:space="0" w:color="000000"/>
              <w:right w:val="single" w:sz="8" w:space="0" w:color="000000"/>
            </w:tcBorders>
            <w:vAlign w:val="center"/>
            <w:hideMark/>
          </w:tcPr>
          <w:p w14:paraId="569F05CF" w14:textId="77777777" w:rsidR="00E3742A" w:rsidRDefault="00E3742A">
            <w:pPr>
              <w:jc w:val="center"/>
              <w:rPr>
                <w:rFonts w:ascii="Calibri" w:hAnsi="Calibri"/>
                <w:color w:val="000000"/>
              </w:rPr>
            </w:pPr>
            <w:r>
              <w:rPr>
                <w:rFonts w:ascii="Calibri" w:hAnsi="Calibri"/>
                <w:color w:val="000000"/>
                <w:szCs w:val="22"/>
              </w:rPr>
              <w:t>SP-1</w:t>
            </w:r>
          </w:p>
        </w:tc>
        <w:tc>
          <w:tcPr>
            <w:tcW w:w="2370" w:type="dxa"/>
            <w:tcBorders>
              <w:top w:val="nil"/>
              <w:left w:val="nil"/>
              <w:bottom w:val="single" w:sz="8" w:space="0" w:color="000000"/>
              <w:right w:val="single" w:sz="8" w:space="0" w:color="000000"/>
            </w:tcBorders>
            <w:vAlign w:val="center"/>
            <w:hideMark/>
          </w:tcPr>
          <w:p w14:paraId="2DAEBEBA" w14:textId="77777777" w:rsidR="00E3742A" w:rsidRDefault="00E3742A">
            <w:pPr>
              <w:jc w:val="center"/>
              <w:rPr>
                <w:rFonts w:ascii="Calibri" w:hAnsi="Calibri"/>
                <w:color w:val="000000"/>
              </w:rPr>
            </w:pPr>
            <w:proofErr w:type="gramStart"/>
            <w:r>
              <w:rPr>
                <w:rFonts w:ascii="Calibri" w:hAnsi="Calibri"/>
                <w:color w:val="000000"/>
                <w:szCs w:val="22"/>
              </w:rPr>
              <w:t>Slaughter House</w:t>
            </w:r>
            <w:proofErr w:type="gramEnd"/>
            <w:r>
              <w:rPr>
                <w:rFonts w:ascii="Calibri" w:hAnsi="Calibri"/>
                <w:color w:val="000000"/>
                <w:szCs w:val="22"/>
              </w:rPr>
              <w:t xml:space="preserve"> Bay</w:t>
            </w:r>
          </w:p>
        </w:tc>
        <w:tc>
          <w:tcPr>
            <w:tcW w:w="990" w:type="dxa"/>
            <w:tcBorders>
              <w:top w:val="nil"/>
              <w:left w:val="nil"/>
              <w:bottom w:val="single" w:sz="8" w:space="0" w:color="000000"/>
              <w:right w:val="single" w:sz="8" w:space="0" w:color="000000"/>
            </w:tcBorders>
            <w:vAlign w:val="center"/>
            <w:hideMark/>
          </w:tcPr>
          <w:p w14:paraId="23D7A7F5" w14:textId="77777777" w:rsidR="00E3742A" w:rsidRDefault="00E3742A">
            <w:pPr>
              <w:jc w:val="center"/>
              <w:rPr>
                <w:rFonts w:ascii="Calibri" w:hAnsi="Calibri"/>
                <w:color w:val="000000"/>
              </w:rPr>
            </w:pPr>
            <w:r>
              <w:rPr>
                <w:rFonts w:ascii="Calibri" w:hAnsi="Calibri"/>
                <w:color w:val="000000"/>
                <w:szCs w:val="22"/>
              </w:rPr>
              <w:t>48.1173</w:t>
            </w:r>
          </w:p>
        </w:tc>
        <w:tc>
          <w:tcPr>
            <w:tcW w:w="1127" w:type="dxa"/>
            <w:tcBorders>
              <w:top w:val="nil"/>
              <w:left w:val="nil"/>
              <w:bottom w:val="single" w:sz="8" w:space="0" w:color="000000"/>
              <w:right w:val="single" w:sz="8" w:space="0" w:color="000000"/>
            </w:tcBorders>
            <w:vAlign w:val="center"/>
            <w:hideMark/>
          </w:tcPr>
          <w:p w14:paraId="2353394C" w14:textId="4D3F6EE8" w:rsidR="00E3742A" w:rsidRDefault="00E60B6B">
            <w:pPr>
              <w:jc w:val="center"/>
              <w:rPr>
                <w:rFonts w:ascii="Calibri" w:hAnsi="Calibri"/>
                <w:color w:val="000000"/>
              </w:rPr>
            </w:pPr>
            <w:r>
              <w:rPr>
                <w:rFonts w:ascii="Calibri" w:hAnsi="Calibri"/>
                <w:color w:val="000000"/>
                <w:szCs w:val="22"/>
              </w:rPr>
              <w:t>-</w:t>
            </w:r>
            <w:r w:rsidR="00E3742A">
              <w:rPr>
                <w:rFonts w:ascii="Calibri" w:hAnsi="Calibri"/>
                <w:color w:val="000000"/>
                <w:szCs w:val="22"/>
              </w:rPr>
              <w:t>114.7042</w:t>
            </w:r>
          </w:p>
        </w:tc>
        <w:tc>
          <w:tcPr>
            <w:tcW w:w="2032" w:type="dxa"/>
            <w:tcBorders>
              <w:top w:val="nil"/>
              <w:left w:val="nil"/>
              <w:bottom w:val="single" w:sz="8" w:space="0" w:color="000000"/>
              <w:right w:val="single" w:sz="8" w:space="0" w:color="000000"/>
            </w:tcBorders>
            <w:vAlign w:val="center"/>
            <w:hideMark/>
          </w:tcPr>
          <w:p w14:paraId="4AC9E38A" w14:textId="77777777" w:rsidR="00E3742A" w:rsidRDefault="00E3742A">
            <w:pPr>
              <w:jc w:val="center"/>
              <w:rPr>
                <w:rFonts w:ascii="Calibri" w:hAnsi="Calibri"/>
                <w:color w:val="000000"/>
              </w:rPr>
            </w:pPr>
            <w:r>
              <w:rPr>
                <w:rFonts w:ascii="Calibri" w:hAnsi="Calibri"/>
                <w:color w:val="000000"/>
                <w:szCs w:val="22"/>
              </w:rPr>
              <w:t>N/F/CW</w:t>
            </w:r>
          </w:p>
        </w:tc>
        <w:tc>
          <w:tcPr>
            <w:tcW w:w="2211" w:type="dxa"/>
            <w:tcBorders>
              <w:top w:val="nil"/>
              <w:left w:val="nil"/>
              <w:bottom w:val="single" w:sz="8" w:space="0" w:color="000000"/>
              <w:right w:val="single" w:sz="8" w:space="0" w:color="000000"/>
            </w:tcBorders>
            <w:vAlign w:val="center"/>
            <w:hideMark/>
          </w:tcPr>
          <w:p w14:paraId="3E2AF12F" w14:textId="77777777" w:rsidR="00E3742A" w:rsidRDefault="00E3742A">
            <w:pPr>
              <w:jc w:val="center"/>
              <w:rPr>
                <w:rFonts w:ascii="Calibri" w:hAnsi="Calibri"/>
                <w:color w:val="000000"/>
              </w:rPr>
            </w:pPr>
            <w:r>
              <w:rPr>
                <w:rFonts w:ascii="Calibri" w:hAnsi="Calibri"/>
                <w:color w:val="000000"/>
                <w:szCs w:val="22"/>
              </w:rPr>
              <w:t>Bay</w:t>
            </w:r>
          </w:p>
        </w:tc>
      </w:tr>
      <w:tr w:rsidR="00E3742A" w14:paraId="1705EC18" w14:textId="77777777" w:rsidTr="00E3742A">
        <w:trPr>
          <w:trHeight w:hRule="exact" w:val="270"/>
        </w:trPr>
        <w:tc>
          <w:tcPr>
            <w:tcW w:w="990" w:type="dxa"/>
            <w:tcBorders>
              <w:top w:val="nil"/>
              <w:left w:val="single" w:sz="8" w:space="0" w:color="000000"/>
              <w:bottom w:val="single" w:sz="8" w:space="0" w:color="000000"/>
              <w:right w:val="single" w:sz="8" w:space="0" w:color="000000"/>
            </w:tcBorders>
            <w:vAlign w:val="center"/>
            <w:hideMark/>
          </w:tcPr>
          <w:p w14:paraId="39FF777F" w14:textId="77777777" w:rsidR="00E3742A" w:rsidRDefault="00E3742A">
            <w:pPr>
              <w:jc w:val="center"/>
              <w:rPr>
                <w:rFonts w:ascii="Calibri" w:hAnsi="Calibri"/>
                <w:color w:val="000000"/>
              </w:rPr>
            </w:pPr>
            <w:r>
              <w:rPr>
                <w:rFonts w:ascii="Calibri" w:hAnsi="Calibri"/>
                <w:color w:val="000000"/>
                <w:szCs w:val="22"/>
              </w:rPr>
              <w:t>SP-5</w:t>
            </w:r>
          </w:p>
        </w:tc>
        <w:tc>
          <w:tcPr>
            <w:tcW w:w="2370" w:type="dxa"/>
            <w:tcBorders>
              <w:top w:val="nil"/>
              <w:left w:val="nil"/>
              <w:bottom w:val="single" w:sz="8" w:space="0" w:color="000000"/>
              <w:right w:val="single" w:sz="8" w:space="0" w:color="000000"/>
            </w:tcBorders>
            <w:vAlign w:val="center"/>
            <w:hideMark/>
          </w:tcPr>
          <w:p w14:paraId="18981928" w14:textId="77777777" w:rsidR="00E3742A" w:rsidRDefault="00E3742A">
            <w:pPr>
              <w:jc w:val="center"/>
              <w:rPr>
                <w:rFonts w:ascii="Calibri" w:hAnsi="Calibri"/>
                <w:color w:val="000000"/>
              </w:rPr>
            </w:pPr>
            <w:r>
              <w:rPr>
                <w:rFonts w:ascii="Calibri" w:hAnsi="Calibri"/>
                <w:color w:val="000000"/>
                <w:szCs w:val="22"/>
              </w:rPr>
              <w:t>Lake Center – epi.</w:t>
            </w:r>
          </w:p>
        </w:tc>
        <w:tc>
          <w:tcPr>
            <w:tcW w:w="990" w:type="dxa"/>
            <w:tcBorders>
              <w:top w:val="nil"/>
              <w:left w:val="nil"/>
              <w:bottom w:val="single" w:sz="8" w:space="0" w:color="000000"/>
              <w:right w:val="single" w:sz="8" w:space="0" w:color="000000"/>
            </w:tcBorders>
            <w:vAlign w:val="center"/>
            <w:hideMark/>
          </w:tcPr>
          <w:p w14:paraId="1E09DB17" w14:textId="77777777" w:rsidR="00E3742A" w:rsidRDefault="00E3742A">
            <w:pPr>
              <w:jc w:val="center"/>
              <w:rPr>
                <w:rFonts w:ascii="Calibri" w:hAnsi="Calibri"/>
                <w:color w:val="000000"/>
              </w:rPr>
            </w:pPr>
            <w:r>
              <w:rPr>
                <w:rFonts w:ascii="Calibri" w:hAnsi="Calibri"/>
                <w:color w:val="000000"/>
                <w:szCs w:val="22"/>
              </w:rPr>
              <w:t>48.1146</w:t>
            </w:r>
          </w:p>
        </w:tc>
        <w:tc>
          <w:tcPr>
            <w:tcW w:w="1127" w:type="dxa"/>
            <w:tcBorders>
              <w:top w:val="nil"/>
              <w:left w:val="nil"/>
              <w:bottom w:val="single" w:sz="8" w:space="0" w:color="000000"/>
              <w:right w:val="single" w:sz="8" w:space="0" w:color="000000"/>
            </w:tcBorders>
            <w:vAlign w:val="center"/>
            <w:hideMark/>
          </w:tcPr>
          <w:p w14:paraId="7B26C6BC" w14:textId="5BD4C40E" w:rsidR="00E3742A" w:rsidRDefault="00E60B6B">
            <w:pPr>
              <w:jc w:val="center"/>
              <w:rPr>
                <w:rFonts w:ascii="Calibri" w:hAnsi="Calibri"/>
                <w:color w:val="000000"/>
              </w:rPr>
            </w:pPr>
            <w:r>
              <w:rPr>
                <w:rFonts w:ascii="Calibri" w:hAnsi="Calibri"/>
                <w:color w:val="000000"/>
                <w:szCs w:val="22"/>
              </w:rPr>
              <w:t>-</w:t>
            </w:r>
            <w:r w:rsidR="00E3742A">
              <w:rPr>
                <w:rFonts w:ascii="Calibri" w:hAnsi="Calibri"/>
                <w:color w:val="000000"/>
                <w:szCs w:val="22"/>
              </w:rPr>
              <w:t>114.7156</w:t>
            </w:r>
          </w:p>
        </w:tc>
        <w:tc>
          <w:tcPr>
            <w:tcW w:w="2032" w:type="dxa"/>
            <w:tcBorders>
              <w:top w:val="nil"/>
              <w:left w:val="nil"/>
              <w:bottom w:val="single" w:sz="8" w:space="0" w:color="000000"/>
              <w:right w:val="single" w:sz="8" w:space="0" w:color="000000"/>
            </w:tcBorders>
            <w:vAlign w:val="center"/>
            <w:hideMark/>
          </w:tcPr>
          <w:p w14:paraId="19A32225" w14:textId="77777777" w:rsidR="00E3742A" w:rsidRDefault="00E3742A">
            <w:pPr>
              <w:jc w:val="center"/>
              <w:rPr>
                <w:rFonts w:ascii="Calibri" w:hAnsi="Calibri"/>
                <w:color w:val="000000"/>
              </w:rPr>
            </w:pPr>
            <w:r>
              <w:rPr>
                <w:rFonts w:ascii="Calibri" w:hAnsi="Calibri"/>
                <w:color w:val="000000"/>
                <w:szCs w:val="22"/>
              </w:rPr>
              <w:t>N/F/CW/TSS/DOC/A</w:t>
            </w:r>
          </w:p>
        </w:tc>
        <w:tc>
          <w:tcPr>
            <w:tcW w:w="2211" w:type="dxa"/>
            <w:tcBorders>
              <w:top w:val="nil"/>
              <w:left w:val="nil"/>
              <w:bottom w:val="single" w:sz="8" w:space="0" w:color="000000"/>
              <w:right w:val="single" w:sz="8" w:space="0" w:color="000000"/>
            </w:tcBorders>
            <w:vAlign w:val="center"/>
            <w:hideMark/>
          </w:tcPr>
          <w:p w14:paraId="2261A50F" w14:textId="77777777" w:rsidR="00E3742A" w:rsidRDefault="00E3742A">
            <w:pPr>
              <w:jc w:val="center"/>
              <w:rPr>
                <w:rFonts w:ascii="Calibri" w:hAnsi="Calibri"/>
                <w:color w:val="000000"/>
              </w:rPr>
            </w:pPr>
            <w:r>
              <w:rPr>
                <w:rFonts w:ascii="Calibri" w:hAnsi="Calibri"/>
                <w:color w:val="000000"/>
                <w:szCs w:val="22"/>
              </w:rPr>
              <w:t>Center, Deepest</w:t>
            </w:r>
          </w:p>
        </w:tc>
      </w:tr>
      <w:tr w:rsidR="00E3742A" w14:paraId="41EFEDB5" w14:textId="77777777" w:rsidTr="00E3742A">
        <w:trPr>
          <w:trHeight w:hRule="exact" w:val="270"/>
        </w:trPr>
        <w:tc>
          <w:tcPr>
            <w:tcW w:w="990" w:type="dxa"/>
            <w:tcBorders>
              <w:top w:val="nil"/>
              <w:left w:val="single" w:sz="8" w:space="0" w:color="000000"/>
              <w:bottom w:val="single" w:sz="8" w:space="0" w:color="000000"/>
              <w:right w:val="single" w:sz="8" w:space="0" w:color="000000"/>
            </w:tcBorders>
            <w:vAlign w:val="center"/>
          </w:tcPr>
          <w:p w14:paraId="593F1EAC" w14:textId="77777777" w:rsidR="00E3742A" w:rsidRDefault="00E3742A">
            <w:pPr>
              <w:jc w:val="center"/>
              <w:rPr>
                <w:rFonts w:ascii="Calibri" w:hAnsi="Calibri"/>
                <w:color w:val="000000"/>
              </w:rPr>
            </w:pPr>
            <w:r>
              <w:rPr>
                <w:rFonts w:ascii="Calibri" w:hAnsi="Calibri"/>
                <w:color w:val="000000"/>
              </w:rPr>
              <w:t>SP-5-30</w:t>
            </w:r>
          </w:p>
          <w:p w14:paraId="65889109" w14:textId="77777777" w:rsidR="00E3742A" w:rsidRDefault="00E3742A">
            <w:pPr>
              <w:jc w:val="center"/>
              <w:rPr>
                <w:rFonts w:ascii="Calibri" w:hAnsi="Calibri"/>
                <w:color w:val="000000"/>
              </w:rPr>
            </w:pPr>
          </w:p>
        </w:tc>
        <w:tc>
          <w:tcPr>
            <w:tcW w:w="2370" w:type="dxa"/>
            <w:tcBorders>
              <w:top w:val="nil"/>
              <w:left w:val="nil"/>
              <w:bottom w:val="single" w:sz="8" w:space="0" w:color="000000"/>
              <w:right w:val="single" w:sz="8" w:space="0" w:color="000000"/>
            </w:tcBorders>
            <w:vAlign w:val="center"/>
          </w:tcPr>
          <w:p w14:paraId="4330FD55" w14:textId="77777777" w:rsidR="00E3742A" w:rsidRDefault="00E3742A">
            <w:pPr>
              <w:jc w:val="center"/>
              <w:rPr>
                <w:rFonts w:ascii="Calibri" w:hAnsi="Calibri"/>
                <w:color w:val="000000"/>
              </w:rPr>
            </w:pPr>
            <w:r>
              <w:rPr>
                <w:rFonts w:ascii="Calibri" w:hAnsi="Calibri"/>
                <w:color w:val="000000"/>
              </w:rPr>
              <w:t>Lake Center – meta.</w:t>
            </w:r>
          </w:p>
          <w:p w14:paraId="49737168" w14:textId="77777777" w:rsidR="00E3742A" w:rsidRDefault="00E3742A">
            <w:pPr>
              <w:jc w:val="center"/>
              <w:rPr>
                <w:rFonts w:ascii="Calibri" w:hAnsi="Calibri"/>
                <w:color w:val="000000"/>
              </w:rPr>
            </w:pPr>
          </w:p>
        </w:tc>
        <w:tc>
          <w:tcPr>
            <w:tcW w:w="990" w:type="dxa"/>
            <w:tcBorders>
              <w:top w:val="nil"/>
              <w:left w:val="nil"/>
              <w:bottom w:val="single" w:sz="8" w:space="0" w:color="000000"/>
              <w:right w:val="single" w:sz="8" w:space="0" w:color="000000"/>
            </w:tcBorders>
            <w:vAlign w:val="center"/>
            <w:hideMark/>
          </w:tcPr>
          <w:p w14:paraId="6CD28037" w14:textId="77777777" w:rsidR="00E3742A" w:rsidRDefault="00E3742A">
            <w:pPr>
              <w:jc w:val="center"/>
              <w:rPr>
                <w:rFonts w:ascii="Calibri" w:hAnsi="Calibri"/>
                <w:color w:val="000000"/>
              </w:rPr>
            </w:pPr>
            <w:r>
              <w:rPr>
                <w:rFonts w:ascii="Calibri" w:hAnsi="Calibri"/>
                <w:color w:val="000000"/>
                <w:szCs w:val="22"/>
              </w:rPr>
              <w:t>48.1146</w:t>
            </w:r>
          </w:p>
        </w:tc>
        <w:tc>
          <w:tcPr>
            <w:tcW w:w="1127" w:type="dxa"/>
            <w:tcBorders>
              <w:top w:val="nil"/>
              <w:left w:val="nil"/>
              <w:bottom w:val="single" w:sz="8" w:space="0" w:color="000000"/>
              <w:right w:val="single" w:sz="8" w:space="0" w:color="000000"/>
            </w:tcBorders>
            <w:vAlign w:val="center"/>
            <w:hideMark/>
          </w:tcPr>
          <w:p w14:paraId="628DAB39" w14:textId="0DB57613" w:rsidR="00E3742A" w:rsidRDefault="00E60B6B">
            <w:pPr>
              <w:jc w:val="center"/>
              <w:rPr>
                <w:rFonts w:ascii="Calibri" w:hAnsi="Calibri"/>
                <w:color w:val="000000"/>
              </w:rPr>
            </w:pPr>
            <w:r>
              <w:rPr>
                <w:rFonts w:ascii="Calibri" w:hAnsi="Calibri"/>
                <w:color w:val="000000"/>
                <w:szCs w:val="22"/>
              </w:rPr>
              <w:t>-</w:t>
            </w:r>
            <w:r w:rsidR="00E3742A">
              <w:rPr>
                <w:rFonts w:ascii="Calibri" w:hAnsi="Calibri"/>
                <w:color w:val="000000"/>
                <w:szCs w:val="22"/>
              </w:rPr>
              <w:t>114.7156</w:t>
            </w:r>
          </w:p>
        </w:tc>
        <w:tc>
          <w:tcPr>
            <w:tcW w:w="2032" w:type="dxa"/>
            <w:tcBorders>
              <w:top w:val="nil"/>
              <w:left w:val="nil"/>
              <w:bottom w:val="single" w:sz="8" w:space="0" w:color="000000"/>
              <w:right w:val="single" w:sz="8" w:space="0" w:color="000000"/>
            </w:tcBorders>
            <w:vAlign w:val="center"/>
          </w:tcPr>
          <w:p w14:paraId="6FEEA39D" w14:textId="77777777" w:rsidR="00E3742A" w:rsidRDefault="00E3742A">
            <w:pPr>
              <w:jc w:val="center"/>
              <w:rPr>
                <w:rFonts w:ascii="Calibri" w:hAnsi="Calibri"/>
                <w:color w:val="000000"/>
              </w:rPr>
            </w:pPr>
            <w:r>
              <w:rPr>
                <w:rFonts w:ascii="Calibri" w:hAnsi="Calibri"/>
                <w:color w:val="000000"/>
              </w:rPr>
              <w:t>N/F/CW</w:t>
            </w:r>
          </w:p>
          <w:p w14:paraId="3107AC2E" w14:textId="77777777" w:rsidR="00E3742A" w:rsidRDefault="00E3742A">
            <w:pPr>
              <w:jc w:val="center"/>
              <w:rPr>
                <w:rFonts w:ascii="Calibri" w:hAnsi="Calibri"/>
                <w:color w:val="000000"/>
              </w:rPr>
            </w:pPr>
          </w:p>
        </w:tc>
        <w:tc>
          <w:tcPr>
            <w:tcW w:w="2211" w:type="dxa"/>
            <w:tcBorders>
              <w:top w:val="nil"/>
              <w:left w:val="nil"/>
              <w:bottom w:val="single" w:sz="8" w:space="0" w:color="000000"/>
              <w:right w:val="single" w:sz="8" w:space="0" w:color="000000"/>
            </w:tcBorders>
            <w:vAlign w:val="center"/>
          </w:tcPr>
          <w:p w14:paraId="0E653B27" w14:textId="77777777" w:rsidR="00E3742A" w:rsidRDefault="00E3742A">
            <w:pPr>
              <w:jc w:val="center"/>
              <w:rPr>
                <w:rFonts w:ascii="Calibri" w:hAnsi="Calibri"/>
                <w:color w:val="000000"/>
                <w:szCs w:val="22"/>
              </w:rPr>
            </w:pPr>
            <w:r>
              <w:rPr>
                <w:rFonts w:ascii="Calibri" w:hAnsi="Calibri"/>
                <w:color w:val="000000"/>
                <w:szCs w:val="22"/>
              </w:rPr>
              <w:t>Center, metalimnion</w:t>
            </w:r>
          </w:p>
          <w:p w14:paraId="5C9B03DC" w14:textId="77777777" w:rsidR="00E3742A" w:rsidRDefault="00E3742A">
            <w:pPr>
              <w:jc w:val="center"/>
              <w:rPr>
                <w:rFonts w:ascii="Calibri" w:hAnsi="Calibri"/>
                <w:color w:val="000000"/>
              </w:rPr>
            </w:pPr>
          </w:p>
        </w:tc>
      </w:tr>
      <w:tr w:rsidR="00E3742A" w14:paraId="7D08E528" w14:textId="77777777" w:rsidTr="00E3742A">
        <w:trPr>
          <w:trHeight w:hRule="exact" w:val="270"/>
        </w:trPr>
        <w:tc>
          <w:tcPr>
            <w:tcW w:w="990" w:type="dxa"/>
            <w:tcBorders>
              <w:top w:val="nil"/>
              <w:left w:val="single" w:sz="8" w:space="0" w:color="000000"/>
              <w:bottom w:val="single" w:sz="8" w:space="0" w:color="000000"/>
              <w:right w:val="single" w:sz="8" w:space="0" w:color="000000"/>
            </w:tcBorders>
            <w:vAlign w:val="center"/>
          </w:tcPr>
          <w:p w14:paraId="2C7F09FA" w14:textId="77777777" w:rsidR="00E3742A" w:rsidRDefault="00E3742A">
            <w:pPr>
              <w:jc w:val="center"/>
              <w:rPr>
                <w:rFonts w:ascii="Calibri" w:hAnsi="Calibri"/>
                <w:color w:val="000000"/>
              </w:rPr>
            </w:pPr>
            <w:r>
              <w:rPr>
                <w:rFonts w:ascii="Calibri" w:hAnsi="Calibri"/>
                <w:color w:val="000000"/>
              </w:rPr>
              <w:t>SP-5-60</w:t>
            </w:r>
          </w:p>
          <w:p w14:paraId="20AE91C4" w14:textId="77777777" w:rsidR="00E3742A" w:rsidRDefault="00E3742A">
            <w:pPr>
              <w:jc w:val="center"/>
              <w:rPr>
                <w:rFonts w:ascii="Calibri" w:hAnsi="Calibri"/>
                <w:color w:val="000000"/>
              </w:rPr>
            </w:pPr>
          </w:p>
        </w:tc>
        <w:tc>
          <w:tcPr>
            <w:tcW w:w="2370" w:type="dxa"/>
            <w:tcBorders>
              <w:top w:val="nil"/>
              <w:left w:val="nil"/>
              <w:bottom w:val="single" w:sz="8" w:space="0" w:color="000000"/>
              <w:right w:val="single" w:sz="8" w:space="0" w:color="000000"/>
            </w:tcBorders>
            <w:vAlign w:val="center"/>
            <w:hideMark/>
          </w:tcPr>
          <w:p w14:paraId="641ACCCA" w14:textId="77777777" w:rsidR="00E3742A" w:rsidRDefault="00E3742A">
            <w:pPr>
              <w:jc w:val="center"/>
              <w:rPr>
                <w:rFonts w:ascii="Calibri" w:hAnsi="Calibri"/>
                <w:color w:val="000000"/>
              </w:rPr>
            </w:pPr>
            <w:r>
              <w:rPr>
                <w:rFonts w:ascii="Calibri" w:hAnsi="Calibri"/>
                <w:color w:val="000000"/>
              </w:rPr>
              <w:t>Lake Center – hypo.</w:t>
            </w:r>
          </w:p>
        </w:tc>
        <w:tc>
          <w:tcPr>
            <w:tcW w:w="990" w:type="dxa"/>
            <w:tcBorders>
              <w:top w:val="nil"/>
              <w:left w:val="nil"/>
              <w:bottom w:val="single" w:sz="8" w:space="0" w:color="000000"/>
              <w:right w:val="single" w:sz="8" w:space="0" w:color="000000"/>
            </w:tcBorders>
            <w:vAlign w:val="center"/>
            <w:hideMark/>
          </w:tcPr>
          <w:p w14:paraId="732F513F" w14:textId="77777777" w:rsidR="00E3742A" w:rsidRDefault="00E3742A">
            <w:pPr>
              <w:jc w:val="center"/>
              <w:rPr>
                <w:rFonts w:ascii="Calibri" w:hAnsi="Calibri"/>
                <w:color w:val="000000"/>
              </w:rPr>
            </w:pPr>
            <w:r>
              <w:rPr>
                <w:rFonts w:ascii="Calibri" w:hAnsi="Calibri"/>
                <w:color w:val="000000"/>
                <w:szCs w:val="22"/>
              </w:rPr>
              <w:t>48.1146</w:t>
            </w:r>
          </w:p>
        </w:tc>
        <w:tc>
          <w:tcPr>
            <w:tcW w:w="1127" w:type="dxa"/>
            <w:tcBorders>
              <w:top w:val="nil"/>
              <w:left w:val="nil"/>
              <w:bottom w:val="single" w:sz="8" w:space="0" w:color="000000"/>
              <w:right w:val="single" w:sz="8" w:space="0" w:color="000000"/>
            </w:tcBorders>
            <w:vAlign w:val="center"/>
            <w:hideMark/>
          </w:tcPr>
          <w:p w14:paraId="794CE55B" w14:textId="0504403C" w:rsidR="00E3742A" w:rsidRDefault="00E60B6B">
            <w:pPr>
              <w:jc w:val="center"/>
              <w:rPr>
                <w:rFonts w:ascii="Calibri" w:hAnsi="Calibri"/>
                <w:color w:val="000000"/>
              </w:rPr>
            </w:pPr>
            <w:r>
              <w:rPr>
                <w:rFonts w:ascii="Calibri" w:hAnsi="Calibri"/>
                <w:color w:val="000000"/>
                <w:szCs w:val="22"/>
              </w:rPr>
              <w:t>-</w:t>
            </w:r>
            <w:r w:rsidR="00E3742A">
              <w:rPr>
                <w:rFonts w:ascii="Calibri" w:hAnsi="Calibri"/>
                <w:color w:val="000000"/>
                <w:szCs w:val="22"/>
              </w:rPr>
              <w:t>114.7156</w:t>
            </w:r>
          </w:p>
        </w:tc>
        <w:tc>
          <w:tcPr>
            <w:tcW w:w="2032" w:type="dxa"/>
            <w:tcBorders>
              <w:top w:val="nil"/>
              <w:left w:val="nil"/>
              <w:bottom w:val="single" w:sz="8" w:space="0" w:color="000000"/>
              <w:right w:val="single" w:sz="8" w:space="0" w:color="000000"/>
            </w:tcBorders>
            <w:vAlign w:val="center"/>
          </w:tcPr>
          <w:p w14:paraId="1607BD7C" w14:textId="77777777" w:rsidR="00E3742A" w:rsidRDefault="00E3742A">
            <w:pPr>
              <w:jc w:val="center"/>
              <w:rPr>
                <w:rFonts w:ascii="Calibri" w:hAnsi="Calibri"/>
                <w:color w:val="000000"/>
              </w:rPr>
            </w:pPr>
            <w:r>
              <w:rPr>
                <w:rFonts w:ascii="Calibri" w:hAnsi="Calibri"/>
                <w:color w:val="000000"/>
              </w:rPr>
              <w:t>N/F/CW</w:t>
            </w:r>
          </w:p>
          <w:p w14:paraId="41FD0767" w14:textId="77777777" w:rsidR="00E3742A" w:rsidRDefault="00E3742A">
            <w:pPr>
              <w:jc w:val="center"/>
              <w:rPr>
                <w:rFonts w:ascii="Calibri" w:hAnsi="Calibri"/>
                <w:color w:val="000000"/>
              </w:rPr>
            </w:pPr>
          </w:p>
        </w:tc>
        <w:tc>
          <w:tcPr>
            <w:tcW w:w="2211" w:type="dxa"/>
            <w:tcBorders>
              <w:top w:val="nil"/>
              <w:left w:val="nil"/>
              <w:bottom w:val="single" w:sz="8" w:space="0" w:color="000000"/>
              <w:right w:val="single" w:sz="8" w:space="0" w:color="000000"/>
            </w:tcBorders>
            <w:vAlign w:val="center"/>
            <w:hideMark/>
          </w:tcPr>
          <w:p w14:paraId="2311CD97" w14:textId="77777777" w:rsidR="00E3742A" w:rsidRDefault="00E3742A">
            <w:pPr>
              <w:jc w:val="center"/>
              <w:rPr>
                <w:rFonts w:ascii="Calibri" w:hAnsi="Calibri"/>
                <w:color w:val="000000"/>
              </w:rPr>
            </w:pPr>
            <w:r>
              <w:rPr>
                <w:rFonts w:ascii="Calibri" w:hAnsi="Calibri"/>
                <w:color w:val="000000"/>
              </w:rPr>
              <w:t>Center, hypolimnion</w:t>
            </w:r>
          </w:p>
        </w:tc>
      </w:tr>
      <w:tr w:rsidR="00E3742A" w14:paraId="464577D1" w14:textId="77777777" w:rsidTr="00E3742A">
        <w:trPr>
          <w:trHeight w:hRule="exact" w:val="270"/>
        </w:trPr>
        <w:tc>
          <w:tcPr>
            <w:tcW w:w="990" w:type="dxa"/>
            <w:tcBorders>
              <w:top w:val="nil"/>
              <w:left w:val="single" w:sz="8" w:space="0" w:color="000000"/>
              <w:bottom w:val="single" w:sz="8" w:space="0" w:color="000000"/>
              <w:right w:val="single" w:sz="8" w:space="0" w:color="000000"/>
            </w:tcBorders>
            <w:vAlign w:val="center"/>
            <w:hideMark/>
          </w:tcPr>
          <w:p w14:paraId="594C1E6D" w14:textId="77777777" w:rsidR="00E3742A" w:rsidRDefault="00E3742A">
            <w:pPr>
              <w:jc w:val="center"/>
              <w:rPr>
                <w:rFonts w:ascii="Calibri" w:hAnsi="Calibri"/>
                <w:color w:val="000000"/>
                <w:szCs w:val="22"/>
              </w:rPr>
            </w:pPr>
            <w:r>
              <w:rPr>
                <w:rFonts w:ascii="Calibri" w:hAnsi="Calibri"/>
                <w:color w:val="000000"/>
                <w:szCs w:val="22"/>
              </w:rPr>
              <w:t>SP-3</w:t>
            </w:r>
          </w:p>
        </w:tc>
        <w:tc>
          <w:tcPr>
            <w:tcW w:w="2370" w:type="dxa"/>
            <w:tcBorders>
              <w:top w:val="nil"/>
              <w:left w:val="nil"/>
              <w:bottom w:val="single" w:sz="8" w:space="0" w:color="000000"/>
              <w:right w:val="single" w:sz="8" w:space="0" w:color="000000"/>
            </w:tcBorders>
            <w:vAlign w:val="center"/>
            <w:hideMark/>
          </w:tcPr>
          <w:p w14:paraId="58380ED8" w14:textId="3CF470CB" w:rsidR="00E3742A" w:rsidRDefault="00E3742A">
            <w:pPr>
              <w:jc w:val="center"/>
              <w:rPr>
                <w:rFonts w:ascii="Calibri" w:hAnsi="Calibri"/>
                <w:color w:val="000000"/>
                <w:szCs w:val="22"/>
              </w:rPr>
            </w:pPr>
            <w:r>
              <w:rPr>
                <w:rFonts w:ascii="Calibri" w:hAnsi="Calibri"/>
                <w:color w:val="000000"/>
                <w:szCs w:val="22"/>
              </w:rPr>
              <w:t>Locke Bay</w:t>
            </w:r>
          </w:p>
        </w:tc>
        <w:tc>
          <w:tcPr>
            <w:tcW w:w="990" w:type="dxa"/>
            <w:tcBorders>
              <w:top w:val="nil"/>
              <w:left w:val="nil"/>
              <w:bottom w:val="single" w:sz="8" w:space="0" w:color="000000"/>
              <w:right w:val="single" w:sz="8" w:space="0" w:color="000000"/>
            </w:tcBorders>
            <w:vAlign w:val="center"/>
            <w:hideMark/>
          </w:tcPr>
          <w:p w14:paraId="799E46BD" w14:textId="77777777" w:rsidR="00E3742A" w:rsidRDefault="00E3742A">
            <w:pPr>
              <w:jc w:val="center"/>
              <w:rPr>
                <w:rFonts w:ascii="Calibri" w:hAnsi="Calibri"/>
                <w:color w:val="000000"/>
                <w:szCs w:val="22"/>
              </w:rPr>
            </w:pPr>
            <w:r>
              <w:rPr>
                <w:rFonts w:ascii="Calibri" w:hAnsi="Calibri"/>
                <w:color w:val="000000"/>
                <w:szCs w:val="22"/>
              </w:rPr>
              <w:t>48.1201</w:t>
            </w:r>
          </w:p>
        </w:tc>
        <w:tc>
          <w:tcPr>
            <w:tcW w:w="1127" w:type="dxa"/>
            <w:tcBorders>
              <w:top w:val="nil"/>
              <w:left w:val="nil"/>
              <w:bottom w:val="single" w:sz="8" w:space="0" w:color="000000"/>
              <w:right w:val="single" w:sz="8" w:space="0" w:color="000000"/>
            </w:tcBorders>
            <w:vAlign w:val="center"/>
            <w:hideMark/>
          </w:tcPr>
          <w:p w14:paraId="480CAB6F" w14:textId="304AAE21" w:rsidR="00E3742A" w:rsidRDefault="00E60B6B">
            <w:pPr>
              <w:jc w:val="center"/>
              <w:rPr>
                <w:rFonts w:ascii="Calibri" w:hAnsi="Calibri"/>
                <w:color w:val="000000"/>
                <w:szCs w:val="22"/>
              </w:rPr>
            </w:pPr>
            <w:r>
              <w:rPr>
                <w:rFonts w:ascii="Calibri" w:hAnsi="Calibri"/>
                <w:color w:val="000000"/>
                <w:szCs w:val="22"/>
              </w:rPr>
              <w:t>-</w:t>
            </w:r>
            <w:r w:rsidR="00E3742A">
              <w:rPr>
                <w:rFonts w:ascii="Calibri" w:hAnsi="Calibri"/>
                <w:color w:val="000000"/>
                <w:szCs w:val="22"/>
              </w:rPr>
              <w:t>114.7384</w:t>
            </w:r>
          </w:p>
        </w:tc>
        <w:tc>
          <w:tcPr>
            <w:tcW w:w="2032" w:type="dxa"/>
            <w:tcBorders>
              <w:top w:val="nil"/>
              <w:left w:val="nil"/>
              <w:bottom w:val="single" w:sz="8" w:space="0" w:color="000000"/>
              <w:right w:val="single" w:sz="8" w:space="0" w:color="000000"/>
            </w:tcBorders>
            <w:vAlign w:val="center"/>
            <w:hideMark/>
          </w:tcPr>
          <w:p w14:paraId="29199505" w14:textId="5F20AF97" w:rsidR="00E3742A" w:rsidRDefault="00E3742A">
            <w:pPr>
              <w:jc w:val="center"/>
              <w:rPr>
                <w:rFonts w:ascii="Calibri" w:hAnsi="Calibri"/>
                <w:color w:val="000000"/>
                <w:szCs w:val="22"/>
              </w:rPr>
            </w:pPr>
            <w:r>
              <w:rPr>
                <w:rFonts w:ascii="Calibri" w:hAnsi="Calibri"/>
                <w:color w:val="000000"/>
                <w:szCs w:val="22"/>
              </w:rPr>
              <w:t>N/F/CW/CB</w:t>
            </w:r>
          </w:p>
        </w:tc>
        <w:tc>
          <w:tcPr>
            <w:tcW w:w="2211" w:type="dxa"/>
            <w:tcBorders>
              <w:top w:val="nil"/>
              <w:left w:val="nil"/>
              <w:bottom w:val="single" w:sz="8" w:space="0" w:color="000000"/>
              <w:right w:val="single" w:sz="8" w:space="0" w:color="000000"/>
            </w:tcBorders>
            <w:vAlign w:val="center"/>
            <w:hideMark/>
          </w:tcPr>
          <w:p w14:paraId="5576B689" w14:textId="77777777" w:rsidR="00E3742A" w:rsidRDefault="00E3742A">
            <w:pPr>
              <w:jc w:val="center"/>
              <w:rPr>
                <w:rFonts w:ascii="Calibri" w:hAnsi="Calibri"/>
                <w:color w:val="000000"/>
                <w:szCs w:val="22"/>
              </w:rPr>
            </w:pPr>
            <w:r>
              <w:rPr>
                <w:rFonts w:ascii="Calibri" w:hAnsi="Calibri"/>
                <w:color w:val="000000"/>
                <w:szCs w:val="22"/>
              </w:rPr>
              <w:t>Bay</w:t>
            </w:r>
          </w:p>
        </w:tc>
      </w:tr>
      <w:tr w:rsidR="00E3742A" w14:paraId="62476091" w14:textId="77777777" w:rsidTr="00E3742A">
        <w:trPr>
          <w:trHeight w:hRule="exact" w:val="270"/>
        </w:trPr>
        <w:tc>
          <w:tcPr>
            <w:tcW w:w="990" w:type="dxa"/>
            <w:tcBorders>
              <w:top w:val="nil"/>
              <w:left w:val="single" w:sz="8" w:space="0" w:color="000000"/>
              <w:bottom w:val="single" w:sz="8" w:space="0" w:color="000000"/>
              <w:right w:val="single" w:sz="8" w:space="0" w:color="000000"/>
            </w:tcBorders>
            <w:vAlign w:val="center"/>
            <w:hideMark/>
          </w:tcPr>
          <w:p w14:paraId="721262CA" w14:textId="77777777" w:rsidR="00E3742A" w:rsidRDefault="00E3742A">
            <w:pPr>
              <w:jc w:val="center"/>
              <w:rPr>
                <w:rFonts w:ascii="Calibri" w:hAnsi="Calibri"/>
                <w:color w:val="000000"/>
                <w:szCs w:val="22"/>
              </w:rPr>
            </w:pPr>
            <w:r>
              <w:rPr>
                <w:rFonts w:ascii="Calibri" w:hAnsi="Calibri"/>
                <w:color w:val="000000"/>
                <w:szCs w:val="22"/>
              </w:rPr>
              <w:t>SP-4</w:t>
            </w:r>
          </w:p>
        </w:tc>
        <w:tc>
          <w:tcPr>
            <w:tcW w:w="2370" w:type="dxa"/>
            <w:tcBorders>
              <w:top w:val="nil"/>
              <w:left w:val="nil"/>
              <w:bottom w:val="single" w:sz="8" w:space="0" w:color="000000"/>
              <w:right w:val="single" w:sz="8" w:space="0" w:color="000000"/>
            </w:tcBorders>
            <w:vAlign w:val="center"/>
            <w:hideMark/>
          </w:tcPr>
          <w:p w14:paraId="4664E5BB" w14:textId="77777777" w:rsidR="00E3742A" w:rsidRDefault="00E3742A">
            <w:pPr>
              <w:jc w:val="center"/>
              <w:rPr>
                <w:rFonts w:ascii="Calibri" w:hAnsi="Calibri"/>
                <w:color w:val="000000"/>
                <w:szCs w:val="22"/>
              </w:rPr>
            </w:pPr>
            <w:r>
              <w:rPr>
                <w:rFonts w:ascii="Calibri" w:hAnsi="Calibri"/>
                <w:color w:val="000000"/>
                <w:szCs w:val="22"/>
              </w:rPr>
              <w:t>Southwest</w:t>
            </w:r>
          </w:p>
        </w:tc>
        <w:tc>
          <w:tcPr>
            <w:tcW w:w="990" w:type="dxa"/>
            <w:tcBorders>
              <w:top w:val="nil"/>
              <w:left w:val="nil"/>
              <w:bottom w:val="single" w:sz="8" w:space="0" w:color="000000"/>
              <w:right w:val="single" w:sz="8" w:space="0" w:color="000000"/>
            </w:tcBorders>
            <w:vAlign w:val="center"/>
            <w:hideMark/>
          </w:tcPr>
          <w:p w14:paraId="27CE04A3" w14:textId="77777777" w:rsidR="00E3742A" w:rsidRDefault="00E3742A">
            <w:pPr>
              <w:jc w:val="center"/>
              <w:rPr>
                <w:rFonts w:ascii="Calibri" w:hAnsi="Calibri"/>
                <w:color w:val="000000"/>
                <w:szCs w:val="22"/>
              </w:rPr>
            </w:pPr>
            <w:r>
              <w:rPr>
                <w:rFonts w:ascii="Calibri" w:hAnsi="Calibri"/>
                <w:color w:val="000000"/>
                <w:szCs w:val="22"/>
              </w:rPr>
              <w:t>48.0988</w:t>
            </w:r>
          </w:p>
        </w:tc>
        <w:tc>
          <w:tcPr>
            <w:tcW w:w="1127" w:type="dxa"/>
            <w:tcBorders>
              <w:top w:val="nil"/>
              <w:left w:val="nil"/>
              <w:bottom w:val="single" w:sz="8" w:space="0" w:color="000000"/>
              <w:right w:val="single" w:sz="8" w:space="0" w:color="000000"/>
            </w:tcBorders>
            <w:vAlign w:val="center"/>
            <w:hideMark/>
          </w:tcPr>
          <w:p w14:paraId="2594A28E" w14:textId="01965430" w:rsidR="00E3742A" w:rsidRDefault="00E60B6B">
            <w:pPr>
              <w:jc w:val="center"/>
              <w:rPr>
                <w:rFonts w:ascii="Calibri" w:hAnsi="Calibri"/>
                <w:color w:val="000000"/>
                <w:szCs w:val="22"/>
              </w:rPr>
            </w:pPr>
            <w:r>
              <w:rPr>
                <w:rFonts w:ascii="Calibri" w:hAnsi="Calibri"/>
                <w:color w:val="000000"/>
                <w:szCs w:val="22"/>
              </w:rPr>
              <w:t>-</w:t>
            </w:r>
            <w:r w:rsidR="00E3742A">
              <w:rPr>
                <w:rFonts w:ascii="Calibri" w:hAnsi="Calibri"/>
                <w:color w:val="000000"/>
                <w:szCs w:val="22"/>
              </w:rPr>
              <w:t>114.7188</w:t>
            </w:r>
          </w:p>
        </w:tc>
        <w:tc>
          <w:tcPr>
            <w:tcW w:w="2032" w:type="dxa"/>
            <w:tcBorders>
              <w:top w:val="nil"/>
              <w:left w:val="nil"/>
              <w:bottom w:val="single" w:sz="8" w:space="0" w:color="000000"/>
              <w:right w:val="single" w:sz="8" w:space="0" w:color="000000"/>
            </w:tcBorders>
            <w:vAlign w:val="center"/>
            <w:hideMark/>
          </w:tcPr>
          <w:p w14:paraId="522CE40C" w14:textId="77777777" w:rsidR="00E3742A" w:rsidRDefault="00E3742A">
            <w:pPr>
              <w:jc w:val="center"/>
              <w:rPr>
                <w:rFonts w:ascii="Calibri" w:hAnsi="Calibri"/>
                <w:color w:val="000000"/>
                <w:szCs w:val="22"/>
              </w:rPr>
            </w:pPr>
            <w:r>
              <w:rPr>
                <w:rFonts w:ascii="Calibri" w:hAnsi="Calibri"/>
                <w:color w:val="000000"/>
                <w:szCs w:val="22"/>
              </w:rPr>
              <w:t>N/F/CW</w:t>
            </w:r>
          </w:p>
        </w:tc>
        <w:tc>
          <w:tcPr>
            <w:tcW w:w="2211" w:type="dxa"/>
            <w:tcBorders>
              <w:top w:val="nil"/>
              <w:left w:val="nil"/>
              <w:bottom w:val="single" w:sz="8" w:space="0" w:color="000000"/>
              <w:right w:val="single" w:sz="8" w:space="0" w:color="000000"/>
            </w:tcBorders>
            <w:vAlign w:val="center"/>
            <w:hideMark/>
          </w:tcPr>
          <w:p w14:paraId="1F357E9F" w14:textId="77777777" w:rsidR="00E3742A" w:rsidRDefault="00E3742A">
            <w:pPr>
              <w:jc w:val="center"/>
              <w:rPr>
                <w:rFonts w:ascii="Calibri" w:hAnsi="Calibri"/>
                <w:color w:val="000000"/>
                <w:szCs w:val="22"/>
              </w:rPr>
            </w:pPr>
            <w:r>
              <w:rPr>
                <w:rFonts w:ascii="Calibri" w:hAnsi="Calibri"/>
                <w:color w:val="000000"/>
                <w:szCs w:val="22"/>
              </w:rPr>
              <w:t>Near Development</w:t>
            </w:r>
          </w:p>
        </w:tc>
      </w:tr>
      <w:tr w:rsidR="00E3742A" w14:paraId="73EB9C91" w14:textId="77777777" w:rsidTr="00E3742A">
        <w:trPr>
          <w:trHeight w:hRule="exact" w:val="270"/>
        </w:trPr>
        <w:tc>
          <w:tcPr>
            <w:tcW w:w="990" w:type="dxa"/>
            <w:tcBorders>
              <w:top w:val="nil"/>
              <w:left w:val="single" w:sz="8" w:space="0" w:color="000000"/>
              <w:bottom w:val="single" w:sz="8" w:space="0" w:color="000000"/>
              <w:right w:val="single" w:sz="8" w:space="0" w:color="000000"/>
            </w:tcBorders>
            <w:vAlign w:val="center"/>
            <w:hideMark/>
          </w:tcPr>
          <w:p w14:paraId="67508D77" w14:textId="77777777" w:rsidR="00E3742A" w:rsidRDefault="00E3742A">
            <w:pPr>
              <w:jc w:val="center"/>
              <w:rPr>
                <w:rFonts w:ascii="Calibri" w:hAnsi="Calibri"/>
                <w:color w:val="000000"/>
              </w:rPr>
            </w:pPr>
            <w:r>
              <w:rPr>
                <w:rFonts w:ascii="Calibri" w:hAnsi="Calibri"/>
                <w:color w:val="000000"/>
                <w:szCs w:val="22"/>
              </w:rPr>
              <w:t>SP-6</w:t>
            </w:r>
          </w:p>
        </w:tc>
        <w:tc>
          <w:tcPr>
            <w:tcW w:w="2370" w:type="dxa"/>
            <w:tcBorders>
              <w:top w:val="nil"/>
              <w:left w:val="nil"/>
              <w:bottom w:val="single" w:sz="8" w:space="0" w:color="000000"/>
              <w:right w:val="single" w:sz="8" w:space="0" w:color="000000"/>
            </w:tcBorders>
            <w:vAlign w:val="center"/>
            <w:hideMark/>
          </w:tcPr>
          <w:p w14:paraId="184FF290" w14:textId="77777777" w:rsidR="00E3742A" w:rsidRDefault="00E3742A">
            <w:pPr>
              <w:jc w:val="center"/>
              <w:rPr>
                <w:rFonts w:ascii="Calibri" w:hAnsi="Calibri"/>
                <w:color w:val="000000"/>
              </w:rPr>
            </w:pPr>
            <w:r>
              <w:rPr>
                <w:rFonts w:ascii="Calibri" w:hAnsi="Calibri"/>
                <w:color w:val="000000"/>
                <w:szCs w:val="22"/>
              </w:rPr>
              <w:t>Southeast</w:t>
            </w:r>
          </w:p>
        </w:tc>
        <w:tc>
          <w:tcPr>
            <w:tcW w:w="990" w:type="dxa"/>
            <w:tcBorders>
              <w:top w:val="nil"/>
              <w:left w:val="nil"/>
              <w:bottom w:val="single" w:sz="8" w:space="0" w:color="000000"/>
              <w:right w:val="single" w:sz="8" w:space="0" w:color="000000"/>
            </w:tcBorders>
            <w:vAlign w:val="center"/>
            <w:hideMark/>
          </w:tcPr>
          <w:p w14:paraId="4E193A1B" w14:textId="77777777" w:rsidR="00E3742A" w:rsidRDefault="00E3742A">
            <w:pPr>
              <w:jc w:val="center"/>
              <w:rPr>
                <w:rFonts w:ascii="Calibri" w:hAnsi="Calibri"/>
                <w:color w:val="000000"/>
              </w:rPr>
            </w:pPr>
            <w:r>
              <w:rPr>
                <w:rFonts w:ascii="Calibri" w:hAnsi="Calibri"/>
                <w:color w:val="000000"/>
                <w:szCs w:val="22"/>
              </w:rPr>
              <w:t>48.0967</w:t>
            </w:r>
          </w:p>
        </w:tc>
        <w:tc>
          <w:tcPr>
            <w:tcW w:w="1127" w:type="dxa"/>
            <w:tcBorders>
              <w:top w:val="nil"/>
              <w:left w:val="nil"/>
              <w:bottom w:val="single" w:sz="8" w:space="0" w:color="000000"/>
              <w:right w:val="single" w:sz="8" w:space="0" w:color="000000"/>
            </w:tcBorders>
            <w:vAlign w:val="center"/>
            <w:hideMark/>
          </w:tcPr>
          <w:p w14:paraId="38D6F5B3" w14:textId="07B3DF12" w:rsidR="00E3742A" w:rsidRDefault="00E60B6B">
            <w:pPr>
              <w:jc w:val="center"/>
              <w:rPr>
                <w:rFonts w:ascii="Calibri" w:hAnsi="Calibri"/>
                <w:color w:val="000000"/>
              </w:rPr>
            </w:pPr>
            <w:r>
              <w:rPr>
                <w:rFonts w:ascii="Calibri" w:hAnsi="Calibri"/>
                <w:color w:val="000000"/>
                <w:szCs w:val="22"/>
              </w:rPr>
              <w:t>-</w:t>
            </w:r>
            <w:r w:rsidR="00E3742A">
              <w:rPr>
                <w:rFonts w:ascii="Calibri" w:hAnsi="Calibri"/>
                <w:color w:val="000000"/>
                <w:szCs w:val="22"/>
              </w:rPr>
              <w:t>114.6912</w:t>
            </w:r>
          </w:p>
        </w:tc>
        <w:tc>
          <w:tcPr>
            <w:tcW w:w="2032" w:type="dxa"/>
            <w:tcBorders>
              <w:top w:val="nil"/>
              <w:left w:val="nil"/>
              <w:bottom w:val="single" w:sz="8" w:space="0" w:color="000000"/>
              <w:right w:val="single" w:sz="8" w:space="0" w:color="000000"/>
            </w:tcBorders>
            <w:vAlign w:val="center"/>
            <w:hideMark/>
          </w:tcPr>
          <w:p w14:paraId="299CB057" w14:textId="77777777" w:rsidR="00E3742A" w:rsidRDefault="00E3742A">
            <w:pPr>
              <w:jc w:val="center"/>
              <w:rPr>
                <w:rFonts w:ascii="Calibri" w:hAnsi="Calibri"/>
                <w:color w:val="000000"/>
              </w:rPr>
            </w:pPr>
            <w:r>
              <w:rPr>
                <w:rFonts w:ascii="Calibri" w:hAnsi="Calibri"/>
                <w:color w:val="000000"/>
                <w:szCs w:val="22"/>
              </w:rPr>
              <w:t>N/F/CW/CB</w:t>
            </w:r>
          </w:p>
        </w:tc>
        <w:tc>
          <w:tcPr>
            <w:tcW w:w="2211" w:type="dxa"/>
            <w:tcBorders>
              <w:top w:val="nil"/>
              <w:left w:val="nil"/>
              <w:bottom w:val="single" w:sz="8" w:space="0" w:color="000000"/>
              <w:right w:val="single" w:sz="8" w:space="0" w:color="000000"/>
            </w:tcBorders>
            <w:vAlign w:val="center"/>
            <w:hideMark/>
          </w:tcPr>
          <w:p w14:paraId="7B25CB0D" w14:textId="77777777" w:rsidR="00E3742A" w:rsidRDefault="00E3742A">
            <w:pPr>
              <w:jc w:val="center"/>
              <w:rPr>
                <w:rFonts w:ascii="Calibri" w:hAnsi="Calibri"/>
                <w:color w:val="000000"/>
              </w:rPr>
            </w:pPr>
            <w:r>
              <w:rPr>
                <w:rFonts w:ascii="Calibri" w:hAnsi="Calibri"/>
                <w:color w:val="000000"/>
                <w:szCs w:val="22"/>
              </w:rPr>
              <w:t>Near Development</w:t>
            </w:r>
          </w:p>
        </w:tc>
      </w:tr>
      <w:tr w:rsidR="00E3742A" w14:paraId="3862C962" w14:textId="77777777" w:rsidTr="00E3742A">
        <w:trPr>
          <w:trHeight w:hRule="exact" w:val="270"/>
        </w:trPr>
        <w:tc>
          <w:tcPr>
            <w:tcW w:w="990" w:type="dxa"/>
            <w:tcBorders>
              <w:top w:val="nil"/>
              <w:left w:val="single" w:sz="8" w:space="0" w:color="000000"/>
              <w:bottom w:val="single" w:sz="8" w:space="0" w:color="000000"/>
              <w:right w:val="single" w:sz="8" w:space="0" w:color="000000"/>
            </w:tcBorders>
            <w:vAlign w:val="center"/>
            <w:hideMark/>
          </w:tcPr>
          <w:p w14:paraId="30E267C7" w14:textId="77777777" w:rsidR="00E3742A" w:rsidRDefault="00E3742A">
            <w:pPr>
              <w:jc w:val="center"/>
              <w:rPr>
                <w:rFonts w:ascii="Calibri" w:hAnsi="Calibri"/>
                <w:color w:val="000000"/>
              </w:rPr>
            </w:pPr>
            <w:r>
              <w:rPr>
                <w:rFonts w:ascii="Calibri" w:hAnsi="Calibri"/>
                <w:color w:val="000000"/>
                <w:szCs w:val="22"/>
              </w:rPr>
              <w:t>SP-9</w:t>
            </w:r>
          </w:p>
        </w:tc>
        <w:tc>
          <w:tcPr>
            <w:tcW w:w="2370" w:type="dxa"/>
            <w:tcBorders>
              <w:top w:val="nil"/>
              <w:left w:val="nil"/>
              <w:bottom w:val="single" w:sz="8" w:space="0" w:color="000000"/>
              <w:right w:val="single" w:sz="8" w:space="0" w:color="000000"/>
            </w:tcBorders>
            <w:vAlign w:val="center"/>
            <w:hideMark/>
          </w:tcPr>
          <w:p w14:paraId="78B415EE" w14:textId="77777777" w:rsidR="00E3742A" w:rsidRDefault="00E3742A">
            <w:pPr>
              <w:jc w:val="center"/>
              <w:rPr>
                <w:rFonts w:ascii="Calibri" w:hAnsi="Calibri"/>
                <w:color w:val="000000"/>
              </w:rPr>
            </w:pPr>
            <w:r>
              <w:rPr>
                <w:rFonts w:ascii="Calibri" w:hAnsi="Calibri"/>
                <w:color w:val="000000"/>
                <w:szCs w:val="22"/>
              </w:rPr>
              <w:t xml:space="preserve">Outlet - </w:t>
            </w:r>
            <w:proofErr w:type="spellStart"/>
            <w:r>
              <w:rPr>
                <w:rFonts w:ascii="Calibri" w:hAnsi="Calibri"/>
                <w:color w:val="000000"/>
                <w:szCs w:val="22"/>
              </w:rPr>
              <w:t>Ltl</w:t>
            </w:r>
            <w:proofErr w:type="spellEnd"/>
            <w:r>
              <w:rPr>
                <w:rFonts w:ascii="Calibri" w:hAnsi="Calibri"/>
                <w:color w:val="000000"/>
                <w:szCs w:val="22"/>
              </w:rPr>
              <w:t>. Bitterroot R.</w:t>
            </w:r>
          </w:p>
        </w:tc>
        <w:tc>
          <w:tcPr>
            <w:tcW w:w="990" w:type="dxa"/>
            <w:tcBorders>
              <w:top w:val="nil"/>
              <w:left w:val="nil"/>
              <w:bottom w:val="single" w:sz="8" w:space="0" w:color="000000"/>
              <w:right w:val="single" w:sz="8" w:space="0" w:color="000000"/>
            </w:tcBorders>
            <w:vAlign w:val="center"/>
            <w:hideMark/>
          </w:tcPr>
          <w:p w14:paraId="2FBA4718" w14:textId="77777777" w:rsidR="00E3742A" w:rsidRDefault="00E3742A">
            <w:pPr>
              <w:jc w:val="center"/>
              <w:rPr>
                <w:rFonts w:ascii="Calibri" w:hAnsi="Calibri"/>
                <w:color w:val="000000"/>
              </w:rPr>
            </w:pPr>
            <w:r>
              <w:rPr>
                <w:rFonts w:ascii="Calibri" w:hAnsi="Calibri"/>
                <w:color w:val="000000"/>
                <w:szCs w:val="22"/>
              </w:rPr>
              <w:t>48.0924</w:t>
            </w:r>
          </w:p>
        </w:tc>
        <w:tc>
          <w:tcPr>
            <w:tcW w:w="1127" w:type="dxa"/>
            <w:tcBorders>
              <w:top w:val="nil"/>
              <w:left w:val="nil"/>
              <w:bottom w:val="single" w:sz="8" w:space="0" w:color="000000"/>
              <w:right w:val="single" w:sz="8" w:space="0" w:color="000000"/>
            </w:tcBorders>
            <w:vAlign w:val="center"/>
            <w:hideMark/>
          </w:tcPr>
          <w:p w14:paraId="18463279" w14:textId="46F13E7B" w:rsidR="00E3742A" w:rsidRDefault="00E60B6B">
            <w:pPr>
              <w:jc w:val="center"/>
              <w:rPr>
                <w:rFonts w:ascii="Calibri" w:hAnsi="Calibri"/>
                <w:color w:val="000000"/>
              </w:rPr>
            </w:pPr>
            <w:r>
              <w:rPr>
                <w:rFonts w:ascii="Calibri" w:hAnsi="Calibri"/>
                <w:color w:val="000000"/>
                <w:szCs w:val="22"/>
              </w:rPr>
              <w:t>-</w:t>
            </w:r>
            <w:r w:rsidR="00E3742A">
              <w:rPr>
                <w:rFonts w:ascii="Calibri" w:hAnsi="Calibri"/>
                <w:color w:val="000000"/>
                <w:szCs w:val="22"/>
              </w:rPr>
              <w:t>114.6981</w:t>
            </w:r>
          </w:p>
        </w:tc>
        <w:tc>
          <w:tcPr>
            <w:tcW w:w="2032" w:type="dxa"/>
            <w:tcBorders>
              <w:top w:val="nil"/>
              <w:left w:val="nil"/>
              <w:bottom w:val="single" w:sz="8" w:space="0" w:color="000000"/>
              <w:right w:val="single" w:sz="8" w:space="0" w:color="000000"/>
            </w:tcBorders>
            <w:vAlign w:val="center"/>
            <w:hideMark/>
          </w:tcPr>
          <w:p w14:paraId="580AFBC3" w14:textId="49880B88" w:rsidR="00E3742A" w:rsidRPr="0071644B" w:rsidRDefault="00E3742A">
            <w:pPr>
              <w:jc w:val="center"/>
              <w:rPr>
                <w:rFonts w:ascii="Calibri" w:hAnsi="Calibri"/>
                <w:color w:val="000000"/>
                <w:lang w:val="es-ES"/>
              </w:rPr>
            </w:pPr>
            <w:r w:rsidRPr="0071644B">
              <w:rPr>
                <w:rFonts w:ascii="Calibri" w:hAnsi="Calibri"/>
                <w:color w:val="000000"/>
                <w:szCs w:val="22"/>
                <w:lang w:val="es-ES"/>
              </w:rPr>
              <w:t>N/F/TSS/DOC/A/E</w:t>
            </w:r>
          </w:p>
        </w:tc>
        <w:tc>
          <w:tcPr>
            <w:tcW w:w="2211" w:type="dxa"/>
            <w:tcBorders>
              <w:top w:val="nil"/>
              <w:left w:val="nil"/>
              <w:bottom w:val="single" w:sz="8" w:space="0" w:color="000000"/>
              <w:right w:val="single" w:sz="8" w:space="0" w:color="000000"/>
            </w:tcBorders>
            <w:vAlign w:val="center"/>
            <w:hideMark/>
          </w:tcPr>
          <w:p w14:paraId="38693D55" w14:textId="77777777" w:rsidR="00E3742A" w:rsidRDefault="00E3742A">
            <w:pPr>
              <w:jc w:val="center"/>
              <w:rPr>
                <w:rFonts w:ascii="Calibri" w:hAnsi="Calibri"/>
                <w:color w:val="000000"/>
              </w:rPr>
            </w:pPr>
            <w:r>
              <w:rPr>
                <w:rFonts w:ascii="Calibri" w:hAnsi="Calibri"/>
                <w:color w:val="000000"/>
                <w:szCs w:val="22"/>
              </w:rPr>
              <w:t>Outlet</w:t>
            </w:r>
          </w:p>
        </w:tc>
      </w:tr>
      <w:tr w:rsidR="00E3742A" w14:paraId="573F6F2C" w14:textId="77777777" w:rsidTr="00E3742A">
        <w:trPr>
          <w:trHeight w:hRule="exact" w:val="270"/>
        </w:trPr>
        <w:tc>
          <w:tcPr>
            <w:tcW w:w="990" w:type="dxa"/>
            <w:tcBorders>
              <w:top w:val="nil"/>
              <w:left w:val="single" w:sz="8" w:space="0" w:color="000000"/>
              <w:bottom w:val="single" w:sz="8" w:space="0" w:color="000000"/>
              <w:right w:val="single" w:sz="8" w:space="0" w:color="000000"/>
            </w:tcBorders>
            <w:vAlign w:val="center"/>
            <w:hideMark/>
          </w:tcPr>
          <w:p w14:paraId="40D496D5" w14:textId="77777777" w:rsidR="00E3742A" w:rsidRDefault="00E3742A">
            <w:pPr>
              <w:jc w:val="center"/>
              <w:rPr>
                <w:rFonts w:ascii="Calibri" w:hAnsi="Calibri"/>
                <w:color w:val="000000"/>
                <w:szCs w:val="22"/>
              </w:rPr>
            </w:pPr>
            <w:r>
              <w:rPr>
                <w:rFonts w:ascii="Calibri" w:hAnsi="Calibri"/>
                <w:color w:val="000000"/>
                <w:szCs w:val="22"/>
              </w:rPr>
              <w:t>NS-1</w:t>
            </w:r>
          </w:p>
          <w:p w14:paraId="36AB483D" w14:textId="77777777" w:rsidR="00E3742A" w:rsidRDefault="00E3742A">
            <w:pPr>
              <w:jc w:val="center"/>
              <w:rPr>
                <w:rFonts w:ascii="Calibri" w:hAnsi="Calibri"/>
                <w:color w:val="000000"/>
                <w:szCs w:val="22"/>
              </w:rPr>
            </w:pPr>
            <w:r>
              <w:rPr>
                <w:rFonts w:ascii="Calibri" w:hAnsi="Calibri"/>
                <w:color w:val="000000"/>
                <w:szCs w:val="22"/>
              </w:rPr>
              <w:t>NS</w:t>
            </w:r>
          </w:p>
        </w:tc>
        <w:tc>
          <w:tcPr>
            <w:tcW w:w="2370" w:type="dxa"/>
            <w:tcBorders>
              <w:top w:val="nil"/>
              <w:left w:val="nil"/>
              <w:bottom w:val="single" w:sz="8" w:space="0" w:color="000000"/>
              <w:right w:val="single" w:sz="8" w:space="0" w:color="000000"/>
            </w:tcBorders>
            <w:vAlign w:val="center"/>
            <w:hideMark/>
          </w:tcPr>
          <w:p w14:paraId="63FF2459" w14:textId="77777777" w:rsidR="00E3742A" w:rsidRDefault="00E3742A">
            <w:pPr>
              <w:jc w:val="center"/>
              <w:rPr>
                <w:rFonts w:ascii="Calibri" w:hAnsi="Calibri"/>
                <w:color w:val="000000"/>
                <w:szCs w:val="22"/>
              </w:rPr>
            </w:pPr>
            <w:r>
              <w:rPr>
                <w:rFonts w:ascii="Calibri" w:hAnsi="Calibri"/>
                <w:color w:val="000000"/>
                <w:szCs w:val="22"/>
              </w:rPr>
              <w:t>Near-shore – NW Bay</w:t>
            </w:r>
          </w:p>
        </w:tc>
        <w:tc>
          <w:tcPr>
            <w:tcW w:w="990" w:type="dxa"/>
            <w:tcBorders>
              <w:top w:val="nil"/>
              <w:left w:val="nil"/>
              <w:bottom w:val="single" w:sz="8" w:space="0" w:color="000000"/>
              <w:right w:val="single" w:sz="8" w:space="0" w:color="000000"/>
            </w:tcBorders>
            <w:vAlign w:val="center"/>
            <w:hideMark/>
          </w:tcPr>
          <w:p w14:paraId="4E226284" w14:textId="77777777" w:rsidR="00E3742A" w:rsidRDefault="00E3742A">
            <w:pPr>
              <w:jc w:val="center"/>
              <w:rPr>
                <w:rFonts w:ascii="Calibri" w:hAnsi="Calibri"/>
                <w:color w:val="000000"/>
                <w:szCs w:val="22"/>
              </w:rPr>
            </w:pPr>
            <w:r>
              <w:rPr>
                <w:rFonts w:ascii="Calibri" w:hAnsi="Calibri" w:cs="Calibri"/>
                <w:color w:val="000000"/>
                <w:szCs w:val="22"/>
              </w:rPr>
              <w:t>48.1383</w:t>
            </w:r>
          </w:p>
        </w:tc>
        <w:tc>
          <w:tcPr>
            <w:tcW w:w="1127" w:type="dxa"/>
            <w:tcBorders>
              <w:top w:val="nil"/>
              <w:left w:val="nil"/>
              <w:bottom w:val="single" w:sz="8" w:space="0" w:color="000000"/>
              <w:right w:val="single" w:sz="8" w:space="0" w:color="000000"/>
            </w:tcBorders>
            <w:vAlign w:val="center"/>
            <w:hideMark/>
          </w:tcPr>
          <w:p w14:paraId="182A4948" w14:textId="41CCDA20" w:rsidR="00E3742A" w:rsidRDefault="00E60B6B">
            <w:pPr>
              <w:jc w:val="center"/>
              <w:rPr>
                <w:rFonts w:ascii="Calibri" w:hAnsi="Calibri"/>
                <w:color w:val="000000"/>
                <w:szCs w:val="22"/>
              </w:rPr>
            </w:pPr>
            <w:r>
              <w:rPr>
                <w:rFonts w:ascii="Calibri" w:hAnsi="Calibri" w:cs="Calibri"/>
                <w:color w:val="000000"/>
                <w:szCs w:val="22"/>
              </w:rPr>
              <w:t>-</w:t>
            </w:r>
            <w:r w:rsidR="00E3742A">
              <w:rPr>
                <w:rFonts w:ascii="Calibri" w:hAnsi="Calibri" w:cs="Calibri"/>
                <w:color w:val="000000"/>
                <w:szCs w:val="22"/>
              </w:rPr>
              <w:t>114.7356</w:t>
            </w:r>
          </w:p>
        </w:tc>
        <w:tc>
          <w:tcPr>
            <w:tcW w:w="2032" w:type="dxa"/>
            <w:tcBorders>
              <w:top w:val="nil"/>
              <w:left w:val="nil"/>
              <w:bottom w:val="single" w:sz="8" w:space="0" w:color="000000"/>
              <w:right w:val="single" w:sz="8" w:space="0" w:color="000000"/>
            </w:tcBorders>
            <w:vAlign w:val="center"/>
          </w:tcPr>
          <w:p w14:paraId="294A1524" w14:textId="6168535E" w:rsidR="00E3742A" w:rsidRDefault="00E3742A">
            <w:pPr>
              <w:jc w:val="center"/>
              <w:rPr>
                <w:rFonts w:ascii="Calibri" w:hAnsi="Calibri"/>
                <w:color w:val="000000"/>
                <w:szCs w:val="22"/>
              </w:rPr>
            </w:pPr>
            <w:r>
              <w:rPr>
                <w:rFonts w:ascii="Calibri" w:hAnsi="Calibri"/>
                <w:color w:val="000000"/>
                <w:szCs w:val="22"/>
              </w:rPr>
              <w:t>N/F/E</w:t>
            </w:r>
          </w:p>
          <w:p w14:paraId="1A19D295" w14:textId="77777777" w:rsidR="00E3742A" w:rsidRDefault="00E3742A">
            <w:pPr>
              <w:jc w:val="center"/>
              <w:rPr>
                <w:rFonts w:ascii="Calibri" w:hAnsi="Calibri"/>
                <w:color w:val="000000"/>
                <w:szCs w:val="22"/>
              </w:rPr>
            </w:pPr>
          </w:p>
        </w:tc>
        <w:tc>
          <w:tcPr>
            <w:tcW w:w="2211" w:type="dxa"/>
            <w:tcBorders>
              <w:top w:val="nil"/>
              <w:left w:val="nil"/>
              <w:bottom w:val="single" w:sz="8" w:space="0" w:color="000000"/>
              <w:right w:val="single" w:sz="8" w:space="0" w:color="000000"/>
            </w:tcBorders>
            <w:vAlign w:val="center"/>
          </w:tcPr>
          <w:p w14:paraId="6BB06310" w14:textId="77777777" w:rsidR="00E3742A" w:rsidRDefault="00E3742A">
            <w:pPr>
              <w:jc w:val="center"/>
              <w:rPr>
                <w:rFonts w:ascii="Calibri" w:hAnsi="Calibri"/>
                <w:color w:val="000000"/>
                <w:szCs w:val="22"/>
              </w:rPr>
            </w:pPr>
            <w:r>
              <w:rPr>
                <w:rFonts w:ascii="Calibri" w:hAnsi="Calibri"/>
                <w:color w:val="000000"/>
                <w:szCs w:val="22"/>
              </w:rPr>
              <w:t>Near Development</w:t>
            </w:r>
          </w:p>
          <w:p w14:paraId="68D53AD8" w14:textId="77777777" w:rsidR="00E3742A" w:rsidRDefault="00E3742A">
            <w:pPr>
              <w:jc w:val="center"/>
              <w:rPr>
                <w:rFonts w:ascii="Calibri" w:hAnsi="Calibri"/>
                <w:color w:val="000000"/>
                <w:szCs w:val="22"/>
              </w:rPr>
            </w:pPr>
          </w:p>
        </w:tc>
      </w:tr>
      <w:tr w:rsidR="00E3742A" w14:paraId="7846859A" w14:textId="77777777" w:rsidTr="00E3742A">
        <w:trPr>
          <w:trHeight w:hRule="exact" w:val="270"/>
        </w:trPr>
        <w:tc>
          <w:tcPr>
            <w:tcW w:w="990" w:type="dxa"/>
            <w:tcBorders>
              <w:top w:val="nil"/>
              <w:left w:val="single" w:sz="8" w:space="0" w:color="000000"/>
              <w:bottom w:val="single" w:sz="8" w:space="0" w:color="000000"/>
              <w:right w:val="single" w:sz="8" w:space="0" w:color="000000"/>
            </w:tcBorders>
            <w:vAlign w:val="center"/>
          </w:tcPr>
          <w:p w14:paraId="3798CABE" w14:textId="77777777" w:rsidR="00E3742A" w:rsidRDefault="00E3742A">
            <w:pPr>
              <w:jc w:val="center"/>
              <w:rPr>
                <w:rFonts w:ascii="Calibri" w:hAnsi="Calibri"/>
                <w:color w:val="000000"/>
                <w:szCs w:val="22"/>
              </w:rPr>
            </w:pPr>
            <w:r>
              <w:rPr>
                <w:rFonts w:ascii="Calibri" w:hAnsi="Calibri"/>
                <w:color w:val="000000"/>
                <w:szCs w:val="22"/>
              </w:rPr>
              <w:t>NS-2</w:t>
            </w:r>
          </w:p>
          <w:p w14:paraId="7BA6BA1B" w14:textId="77777777" w:rsidR="00E3742A" w:rsidRDefault="00E3742A">
            <w:pPr>
              <w:jc w:val="center"/>
              <w:rPr>
                <w:rFonts w:ascii="Calibri" w:hAnsi="Calibri"/>
                <w:color w:val="000000"/>
                <w:szCs w:val="22"/>
              </w:rPr>
            </w:pPr>
          </w:p>
        </w:tc>
        <w:tc>
          <w:tcPr>
            <w:tcW w:w="2370" w:type="dxa"/>
            <w:tcBorders>
              <w:top w:val="nil"/>
              <w:left w:val="nil"/>
              <w:bottom w:val="single" w:sz="8" w:space="0" w:color="000000"/>
              <w:right w:val="single" w:sz="8" w:space="0" w:color="000000"/>
            </w:tcBorders>
            <w:vAlign w:val="center"/>
          </w:tcPr>
          <w:p w14:paraId="463E8AE7" w14:textId="77777777" w:rsidR="00E3742A" w:rsidRDefault="00E3742A">
            <w:pPr>
              <w:jc w:val="center"/>
              <w:rPr>
                <w:rFonts w:ascii="Calibri" w:hAnsi="Calibri"/>
                <w:color w:val="000000"/>
                <w:szCs w:val="22"/>
              </w:rPr>
            </w:pPr>
            <w:r>
              <w:rPr>
                <w:rFonts w:ascii="Calibri" w:hAnsi="Calibri"/>
                <w:color w:val="000000"/>
                <w:szCs w:val="22"/>
              </w:rPr>
              <w:t>Near-shore – NE Bay</w:t>
            </w:r>
          </w:p>
          <w:p w14:paraId="6863ABBD" w14:textId="77777777" w:rsidR="00E3742A" w:rsidRDefault="00E3742A">
            <w:pPr>
              <w:jc w:val="center"/>
              <w:rPr>
                <w:rFonts w:ascii="Calibri" w:hAnsi="Calibri"/>
                <w:color w:val="000000"/>
                <w:szCs w:val="22"/>
              </w:rPr>
            </w:pPr>
          </w:p>
        </w:tc>
        <w:tc>
          <w:tcPr>
            <w:tcW w:w="990" w:type="dxa"/>
            <w:tcBorders>
              <w:top w:val="nil"/>
              <w:left w:val="nil"/>
              <w:bottom w:val="single" w:sz="8" w:space="0" w:color="000000"/>
              <w:right w:val="single" w:sz="8" w:space="0" w:color="000000"/>
            </w:tcBorders>
            <w:vAlign w:val="center"/>
            <w:hideMark/>
          </w:tcPr>
          <w:p w14:paraId="52C05A1C" w14:textId="77777777" w:rsidR="00E3742A" w:rsidRDefault="00E3742A">
            <w:pPr>
              <w:jc w:val="center"/>
              <w:rPr>
                <w:rFonts w:ascii="Calibri" w:hAnsi="Calibri"/>
                <w:color w:val="000000"/>
                <w:szCs w:val="22"/>
              </w:rPr>
            </w:pPr>
            <w:r>
              <w:rPr>
                <w:rFonts w:ascii="Calibri" w:hAnsi="Calibri" w:cs="Calibri"/>
                <w:color w:val="000000"/>
                <w:szCs w:val="22"/>
              </w:rPr>
              <w:t>48.1368</w:t>
            </w:r>
          </w:p>
        </w:tc>
        <w:tc>
          <w:tcPr>
            <w:tcW w:w="1127" w:type="dxa"/>
            <w:tcBorders>
              <w:top w:val="nil"/>
              <w:left w:val="nil"/>
              <w:bottom w:val="single" w:sz="8" w:space="0" w:color="000000"/>
              <w:right w:val="single" w:sz="8" w:space="0" w:color="000000"/>
            </w:tcBorders>
            <w:vAlign w:val="center"/>
            <w:hideMark/>
          </w:tcPr>
          <w:p w14:paraId="384DC5F4" w14:textId="60DC62F8" w:rsidR="00E3742A" w:rsidRDefault="00E60B6B">
            <w:pPr>
              <w:jc w:val="center"/>
              <w:rPr>
                <w:rFonts w:ascii="Calibri" w:hAnsi="Calibri"/>
                <w:color w:val="000000"/>
                <w:szCs w:val="22"/>
              </w:rPr>
            </w:pPr>
            <w:r>
              <w:rPr>
                <w:rFonts w:ascii="Calibri" w:hAnsi="Calibri" w:cs="Calibri"/>
                <w:color w:val="000000"/>
                <w:szCs w:val="22"/>
              </w:rPr>
              <w:t>-</w:t>
            </w:r>
            <w:r w:rsidR="00E3742A">
              <w:rPr>
                <w:rFonts w:ascii="Calibri" w:hAnsi="Calibri" w:cs="Calibri"/>
                <w:color w:val="000000"/>
                <w:szCs w:val="22"/>
              </w:rPr>
              <w:t>114.7116</w:t>
            </w:r>
          </w:p>
        </w:tc>
        <w:tc>
          <w:tcPr>
            <w:tcW w:w="2032" w:type="dxa"/>
            <w:tcBorders>
              <w:top w:val="nil"/>
              <w:left w:val="nil"/>
              <w:bottom w:val="single" w:sz="8" w:space="0" w:color="000000"/>
              <w:right w:val="single" w:sz="8" w:space="0" w:color="000000"/>
            </w:tcBorders>
            <w:vAlign w:val="center"/>
          </w:tcPr>
          <w:p w14:paraId="1AAFFD0E" w14:textId="65010767" w:rsidR="00E3742A" w:rsidRDefault="00E3742A">
            <w:pPr>
              <w:jc w:val="center"/>
              <w:rPr>
                <w:rFonts w:ascii="Calibri" w:hAnsi="Calibri"/>
                <w:color w:val="000000"/>
                <w:szCs w:val="22"/>
              </w:rPr>
            </w:pPr>
            <w:r>
              <w:rPr>
                <w:rFonts w:ascii="Calibri" w:hAnsi="Calibri"/>
                <w:color w:val="000000"/>
                <w:szCs w:val="22"/>
              </w:rPr>
              <w:t>N/F/E</w:t>
            </w:r>
          </w:p>
          <w:p w14:paraId="6C8BCCA3" w14:textId="77777777" w:rsidR="00E3742A" w:rsidRDefault="00E3742A">
            <w:pPr>
              <w:jc w:val="center"/>
              <w:rPr>
                <w:rFonts w:ascii="Calibri" w:hAnsi="Calibri"/>
                <w:color w:val="000000"/>
                <w:szCs w:val="22"/>
              </w:rPr>
            </w:pPr>
          </w:p>
        </w:tc>
        <w:tc>
          <w:tcPr>
            <w:tcW w:w="2211" w:type="dxa"/>
            <w:tcBorders>
              <w:top w:val="nil"/>
              <w:left w:val="nil"/>
              <w:bottom w:val="single" w:sz="8" w:space="0" w:color="000000"/>
              <w:right w:val="single" w:sz="8" w:space="0" w:color="000000"/>
            </w:tcBorders>
            <w:vAlign w:val="center"/>
          </w:tcPr>
          <w:p w14:paraId="4A367F27" w14:textId="77777777" w:rsidR="00E3742A" w:rsidRDefault="00E3742A">
            <w:pPr>
              <w:jc w:val="center"/>
              <w:rPr>
                <w:rFonts w:ascii="Calibri" w:hAnsi="Calibri"/>
                <w:color w:val="000000"/>
                <w:szCs w:val="22"/>
              </w:rPr>
            </w:pPr>
            <w:r>
              <w:rPr>
                <w:rFonts w:ascii="Calibri" w:hAnsi="Calibri"/>
                <w:color w:val="000000"/>
                <w:szCs w:val="22"/>
              </w:rPr>
              <w:t>Near Development</w:t>
            </w:r>
          </w:p>
          <w:p w14:paraId="27B8D16A" w14:textId="77777777" w:rsidR="00E3742A" w:rsidRDefault="00E3742A">
            <w:pPr>
              <w:jc w:val="center"/>
              <w:rPr>
                <w:rFonts w:ascii="Calibri" w:hAnsi="Calibri"/>
                <w:color w:val="000000"/>
                <w:szCs w:val="22"/>
              </w:rPr>
            </w:pPr>
          </w:p>
        </w:tc>
      </w:tr>
      <w:tr w:rsidR="00E3742A" w14:paraId="5573164E" w14:textId="77777777" w:rsidTr="00E3742A">
        <w:trPr>
          <w:trHeight w:hRule="exact" w:val="270"/>
        </w:trPr>
        <w:tc>
          <w:tcPr>
            <w:tcW w:w="990" w:type="dxa"/>
            <w:tcBorders>
              <w:top w:val="nil"/>
              <w:left w:val="single" w:sz="8" w:space="0" w:color="000000"/>
              <w:bottom w:val="single" w:sz="8" w:space="0" w:color="000000"/>
              <w:right w:val="single" w:sz="8" w:space="0" w:color="000000"/>
            </w:tcBorders>
            <w:vAlign w:val="center"/>
            <w:hideMark/>
          </w:tcPr>
          <w:p w14:paraId="44806AB1" w14:textId="77777777" w:rsidR="00E3742A" w:rsidRDefault="00E3742A">
            <w:pPr>
              <w:jc w:val="center"/>
              <w:rPr>
                <w:rFonts w:ascii="Calibri" w:hAnsi="Calibri"/>
                <w:color w:val="000000"/>
                <w:szCs w:val="22"/>
              </w:rPr>
            </w:pPr>
            <w:r>
              <w:rPr>
                <w:rFonts w:ascii="Calibri" w:hAnsi="Calibri"/>
                <w:color w:val="000000"/>
                <w:szCs w:val="22"/>
              </w:rPr>
              <w:t>NS-3</w:t>
            </w:r>
          </w:p>
        </w:tc>
        <w:tc>
          <w:tcPr>
            <w:tcW w:w="2370" w:type="dxa"/>
            <w:tcBorders>
              <w:top w:val="nil"/>
              <w:left w:val="nil"/>
              <w:bottom w:val="single" w:sz="8" w:space="0" w:color="000000"/>
              <w:right w:val="single" w:sz="8" w:space="0" w:color="000000"/>
            </w:tcBorders>
            <w:vAlign w:val="center"/>
            <w:hideMark/>
          </w:tcPr>
          <w:p w14:paraId="0D89EAFC" w14:textId="77777777" w:rsidR="00E3742A" w:rsidRDefault="00E3742A">
            <w:pPr>
              <w:jc w:val="center"/>
              <w:rPr>
                <w:rFonts w:ascii="Calibri" w:hAnsi="Calibri"/>
                <w:color w:val="000000"/>
                <w:szCs w:val="22"/>
              </w:rPr>
            </w:pPr>
            <w:r>
              <w:rPr>
                <w:rFonts w:ascii="Calibri" w:hAnsi="Calibri"/>
                <w:color w:val="000000"/>
                <w:szCs w:val="22"/>
              </w:rPr>
              <w:t>Near-shore – SE Bay</w:t>
            </w:r>
          </w:p>
        </w:tc>
        <w:tc>
          <w:tcPr>
            <w:tcW w:w="990" w:type="dxa"/>
            <w:tcBorders>
              <w:top w:val="nil"/>
              <w:left w:val="nil"/>
              <w:bottom w:val="single" w:sz="8" w:space="0" w:color="000000"/>
              <w:right w:val="single" w:sz="8" w:space="0" w:color="000000"/>
            </w:tcBorders>
            <w:vAlign w:val="center"/>
            <w:hideMark/>
          </w:tcPr>
          <w:p w14:paraId="7F08817C" w14:textId="77777777" w:rsidR="00E3742A" w:rsidRDefault="00E3742A">
            <w:pPr>
              <w:jc w:val="center"/>
              <w:rPr>
                <w:rFonts w:ascii="Calibri" w:hAnsi="Calibri"/>
                <w:color w:val="000000"/>
                <w:szCs w:val="22"/>
              </w:rPr>
            </w:pPr>
            <w:r>
              <w:rPr>
                <w:rFonts w:ascii="Calibri" w:hAnsi="Calibri" w:cs="Calibri"/>
                <w:color w:val="000000"/>
                <w:szCs w:val="22"/>
              </w:rPr>
              <w:t>48.0979</w:t>
            </w:r>
          </w:p>
        </w:tc>
        <w:tc>
          <w:tcPr>
            <w:tcW w:w="1127" w:type="dxa"/>
            <w:tcBorders>
              <w:top w:val="nil"/>
              <w:left w:val="nil"/>
              <w:bottom w:val="single" w:sz="8" w:space="0" w:color="000000"/>
              <w:right w:val="single" w:sz="8" w:space="0" w:color="000000"/>
            </w:tcBorders>
            <w:vAlign w:val="center"/>
            <w:hideMark/>
          </w:tcPr>
          <w:p w14:paraId="045C7E3E" w14:textId="190FF9C8" w:rsidR="00E3742A" w:rsidRDefault="00E60B6B">
            <w:pPr>
              <w:jc w:val="center"/>
              <w:rPr>
                <w:rFonts w:ascii="Calibri" w:hAnsi="Calibri"/>
                <w:color w:val="000000"/>
                <w:szCs w:val="22"/>
              </w:rPr>
            </w:pPr>
            <w:r>
              <w:rPr>
                <w:rFonts w:ascii="Calibri" w:hAnsi="Calibri" w:cs="Calibri"/>
                <w:color w:val="000000"/>
                <w:szCs w:val="22"/>
              </w:rPr>
              <w:t>-</w:t>
            </w:r>
            <w:r w:rsidR="00E3742A">
              <w:rPr>
                <w:rFonts w:ascii="Calibri" w:hAnsi="Calibri" w:cs="Calibri"/>
                <w:color w:val="000000"/>
                <w:szCs w:val="22"/>
              </w:rPr>
              <w:t>114.6883</w:t>
            </w:r>
          </w:p>
        </w:tc>
        <w:tc>
          <w:tcPr>
            <w:tcW w:w="2032" w:type="dxa"/>
            <w:tcBorders>
              <w:top w:val="nil"/>
              <w:left w:val="nil"/>
              <w:bottom w:val="single" w:sz="8" w:space="0" w:color="000000"/>
              <w:right w:val="single" w:sz="8" w:space="0" w:color="000000"/>
            </w:tcBorders>
            <w:vAlign w:val="center"/>
          </w:tcPr>
          <w:p w14:paraId="6B63BE4D" w14:textId="71F8A4F4" w:rsidR="00E3742A" w:rsidRDefault="00E3742A">
            <w:pPr>
              <w:jc w:val="center"/>
              <w:rPr>
                <w:rFonts w:ascii="Calibri" w:hAnsi="Calibri"/>
                <w:color w:val="000000"/>
                <w:szCs w:val="22"/>
              </w:rPr>
            </w:pPr>
            <w:r>
              <w:rPr>
                <w:rFonts w:ascii="Calibri" w:hAnsi="Calibri"/>
                <w:color w:val="000000"/>
                <w:szCs w:val="22"/>
              </w:rPr>
              <w:t>N/F/E</w:t>
            </w:r>
          </w:p>
          <w:p w14:paraId="6C888F80" w14:textId="77777777" w:rsidR="00E3742A" w:rsidRDefault="00E3742A">
            <w:pPr>
              <w:jc w:val="center"/>
              <w:rPr>
                <w:rFonts w:ascii="Calibri" w:hAnsi="Calibri"/>
                <w:color w:val="000000"/>
                <w:szCs w:val="22"/>
              </w:rPr>
            </w:pPr>
          </w:p>
        </w:tc>
        <w:tc>
          <w:tcPr>
            <w:tcW w:w="2211" w:type="dxa"/>
            <w:tcBorders>
              <w:top w:val="nil"/>
              <w:left w:val="nil"/>
              <w:bottom w:val="single" w:sz="8" w:space="0" w:color="000000"/>
              <w:right w:val="single" w:sz="8" w:space="0" w:color="000000"/>
            </w:tcBorders>
            <w:vAlign w:val="center"/>
          </w:tcPr>
          <w:p w14:paraId="4DF60155" w14:textId="77777777" w:rsidR="00E3742A" w:rsidRDefault="00E3742A">
            <w:pPr>
              <w:jc w:val="center"/>
              <w:rPr>
                <w:rFonts w:ascii="Calibri" w:hAnsi="Calibri"/>
                <w:color w:val="000000"/>
                <w:szCs w:val="22"/>
              </w:rPr>
            </w:pPr>
            <w:r>
              <w:rPr>
                <w:rFonts w:ascii="Calibri" w:hAnsi="Calibri"/>
                <w:color w:val="000000"/>
                <w:szCs w:val="22"/>
              </w:rPr>
              <w:t>Near Development</w:t>
            </w:r>
          </w:p>
          <w:p w14:paraId="719E0001" w14:textId="77777777" w:rsidR="00E3742A" w:rsidRDefault="00E3742A">
            <w:pPr>
              <w:jc w:val="center"/>
              <w:rPr>
                <w:rFonts w:ascii="Calibri" w:hAnsi="Calibri"/>
                <w:color w:val="000000"/>
                <w:szCs w:val="22"/>
              </w:rPr>
            </w:pPr>
          </w:p>
        </w:tc>
      </w:tr>
      <w:tr w:rsidR="00E3742A" w14:paraId="6FA2B9E8" w14:textId="77777777" w:rsidTr="00E3742A">
        <w:trPr>
          <w:trHeight w:hRule="exact" w:val="270"/>
        </w:trPr>
        <w:tc>
          <w:tcPr>
            <w:tcW w:w="990" w:type="dxa"/>
            <w:tcBorders>
              <w:top w:val="nil"/>
              <w:left w:val="single" w:sz="8" w:space="0" w:color="000000"/>
              <w:bottom w:val="single" w:sz="8" w:space="0" w:color="000000"/>
              <w:right w:val="single" w:sz="8" w:space="0" w:color="000000"/>
            </w:tcBorders>
            <w:vAlign w:val="center"/>
            <w:hideMark/>
          </w:tcPr>
          <w:p w14:paraId="3B2B9690" w14:textId="77777777" w:rsidR="00E3742A" w:rsidRDefault="00E3742A">
            <w:pPr>
              <w:jc w:val="center"/>
              <w:rPr>
                <w:rFonts w:ascii="Calibri" w:hAnsi="Calibri"/>
                <w:color w:val="000000"/>
                <w:szCs w:val="22"/>
              </w:rPr>
            </w:pPr>
            <w:r>
              <w:rPr>
                <w:rFonts w:ascii="Calibri" w:hAnsi="Calibri"/>
                <w:color w:val="000000"/>
                <w:szCs w:val="22"/>
              </w:rPr>
              <w:t>NS-4</w:t>
            </w:r>
          </w:p>
        </w:tc>
        <w:tc>
          <w:tcPr>
            <w:tcW w:w="2370" w:type="dxa"/>
            <w:tcBorders>
              <w:top w:val="nil"/>
              <w:left w:val="nil"/>
              <w:bottom w:val="single" w:sz="8" w:space="0" w:color="000000"/>
              <w:right w:val="single" w:sz="8" w:space="0" w:color="000000"/>
            </w:tcBorders>
            <w:vAlign w:val="center"/>
            <w:hideMark/>
          </w:tcPr>
          <w:p w14:paraId="123BDF31" w14:textId="77777777" w:rsidR="00E3742A" w:rsidRDefault="00E3742A">
            <w:pPr>
              <w:jc w:val="center"/>
              <w:rPr>
                <w:rFonts w:ascii="Calibri" w:hAnsi="Calibri"/>
                <w:color w:val="000000"/>
                <w:szCs w:val="22"/>
              </w:rPr>
            </w:pPr>
            <w:r>
              <w:rPr>
                <w:rFonts w:ascii="Calibri" w:hAnsi="Calibri"/>
                <w:color w:val="000000"/>
                <w:szCs w:val="22"/>
              </w:rPr>
              <w:t>Near-shore – SW Bay</w:t>
            </w:r>
          </w:p>
        </w:tc>
        <w:tc>
          <w:tcPr>
            <w:tcW w:w="990" w:type="dxa"/>
            <w:tcBorders>
              <w:top w:val="nil"/>
              <w:left w:val="nil"/>
              <w:bottom w:val="single" w:sz="8" w:space="0" w:color="000000"/>
              <w:right w:val="single" w:sz="8" w:space="0" w:color="000000"/>
            </w:tcBorders>
            <w:vAlign w:val="center"/>
            <w:hideMark/>
          </w:tcPr>
          <w:p w14:paraId="1DEE1C37" w14:textId="77777777" w:rsidR="00E3742A" w:rsidRDefault="00E3742A">
            <w:pPr>
              <w:jc w:val="center"/>
              <w:rPr>
                <w:rFonts w:ascii="Calibri" w:hAnsi="Calibri"/>
                <w:color w:val="000000"/>
                <w:szCs w:val="22"/>
              </w:rPr>
            </w:pPr>
            <w:r>
              <w:rPr>
                <w:rFonts w:ascii="Calibri" w:hAnsi="Calibri" w:cs="Calibri"/>
                <w:color w:val="000000"/>
                <w:szCs w:val="22"/>
              </w:rPr>
              <w:t>48.1030</w:t>
            </w:r>
          </w:p>
        </w:tc>
        <w:tc>
          <w:tcPr>
            <w:tcW w:w="1127" w:type="dxa"/>
            <w:tcBorders>
              <w:top w:val="nil"/>
              <w:left w:val="nil"/>
              <w:bottom w:val="single" w:sz="8" w:space="0" w:color="000000"/>
              <w:right w:val="single" w:sz="8" w:space="0" w:color="000000"/>
            </w:tcBorders>
            <w:vAlign w:val="center"/>
            <w:hideMark/>
          </w:tcPr>
          <w:p w14:paraId="52BD3369" w14:textId="2540DD21" w:rsidR="00E3742A" w:rsidRDefault="00E60B6B">
            <w:pPr>
              <w:jc w:val="center"/>
              <w:rPr>
                <w:rFonts w:ascii="Calibri" w:hAnsi="Calibri"/>
                <w:color w:val="000000"/>
                <w:szCs w:val="22"/>
              </w:rPr>
            </w:pPr>
            <w:r>
              <w:rPr>
                <w:rFonts w:ascii="Calibri" w:hAnsi="Calibri" w:cs="Calibri"/>
                <w:color w:val="000000"/>
                <w:szCs w:val="22"/>
              </w:rPr>
              <w:t>-</w:t>
            </w:r>
            <w:r w:rsidR="00E3742A">
              <w:rPr>
                <w:rFonts w:ascii="Calibri" w:hAnsi="Calibri" w:cs="Calibri"/>
                <w:color w:val="000000"/>
                <w:szCs w:val="22"/>
              </w:rPr>
              <w:t>114.7293</w:t>
            </w:r>
          </w:p>
        </w:tc>
        <w:tc>
          <w:tcPr>
            <w:tcW w:w="2032" w:type="dxa"/>
            <w:tcBorders>
              <w:top w:val="nil"/>
              <w:left w:val="nil"/>
              <w:bottom w:val="single" w:sz="8" w:space="0" w:color="000000"/>
              <w:right w:val="single" w:sz="8" w:space="0" w:color="000000"/>
            </w:tcBorders>
            <w:vAlign w:val="center"/>
          </w:tcPr>
          <w:p w14:paraId="3F6A1D49" w14:textId="3FBBD126" w:rsidR="00E3742A" w:rsidRDefault="00E3742A">
            <w:pPr>
              <w:jc w:val="center"/>
              <w:rPr>
                <w:rFonts w:ascii="Calibri" w:hAnsi="Calibri"/>
                <w:color w:val="000000"/>
                <w:szCs w:val="22"/>
              </w:rPr>
            </w:pPr>
            <w:r>
              <w:rPr>
                <w:rFonts w:ascii="Calibri" w:hAnsi="Calibri"/>
                <w:color w:val="000000"/>
                <w:szCs w:val="22"/>
              </w:rPr>
              <w:t>N/F/E</w:t>
            </w:r>
          </w:p>
          <w:p w14:paraId="64F240B3" w14:textId="77777777" w:rsidR="00E3742A" w:rsidRDefault="00E3742A">
            <w:pPr>
              <w:jc w:val="center"/>
              <w:rPr>
                <w:rFonts w:ascii="Calibri" w:hAnsi="Calibri"/>
                <w:color w:val="000000"/>
                <w:szCs w:val="22"/>
              </w:rPr>
            </w:pPr>
          </w:p>
        </w:tc>
        <w:tc>
          <w:tcPr>
            <w:tcW w:w="2211" w:type="dxa"/>
            <w:tcBorders>
              <w:top w:val="nil"/>
              <w:left w:val="nil"/>
              <w:bottom w:val="single" w:sz="8" w:space="0" w:color="000000"/>
              <w:right w:val="single" w:sz="8" w:space="0" w:color="000000"/>
            </w:tcBorders>
            <w:vAlign w:val="center"/>
          </w:tcPr>
          <w:p w14:paraId="3CA9024C" w14:textId="77777777" w:rsidR="00E3742A" w:rsidRDefault="00E3742A">
            <w:pPr>
              <w:jc w:val="center"/>
              <w:rPr>
                <w:rFonts w:ascii="Calibri" w:hAnsi="Calibri"/>
                <w:color w:val="000000"/>
                <w:szCs w:val="22"/>
              </w:rPr>
            </w:pPr>
            <w:r>
              <w:rPr>
                <w:rFonts w:ascii="Calibri" w:hAnsi="Calibri"/>
                <w:color w:val="000000"/>
                <w:szCs w:val="22"/>
              </w:rPr>
              <w:t>Near Development</w:t>
            </w:r>
          </w:p>
          <w:p w14:paraId="3AC9ED55" w14:textId="77777777" w:rsidR="00E3742A" w:rsidRDefault="00E3742A">
            <w:pPr>
              <w:jc w:val="center"/>
              <w:rPr>
                <w:rFonts w:ascii="Calibri" w:hAnsi="Calibri"/>
                <w:color w:val="000000"/>
                <w:szCs w:val="22"/>
              </w:rPr>
            </w:pPr>
          </w:p>
        </w:tc>
      </w:tr>
      <w:tr w:rsidR="00F304CB" w14:paraId="3050D98C" w14:textId="77777777" w:rsidTr="00E3742A">
        <w:trPr>
          <w:trHeight w:hRule="exact" w:val="270"/>
        </w:trPr>
        <w:tc>
          <w:tcPr>
            <w:tcW w:w="990" w:type="dxa"/>
            <w:tcBorders>
              <w:top w:val="nil"/>
              <w:left w:val="single" w:sz="8" w:space="0" w:color="000000"/>
              <w:bottom w:val="single" w:sz="8" w:space="0" w:color="000000"/>
              <w:right w:val="single" w:sz="8" w:space="0" w:color="000000"/>
            </w:tcBorders>
            <w:vAlign w:val="center"/>
          </w:tcPr>
          <w:p w14:paraId="5E1FE17C" w14:textId="77777777" w:rsidR="00F304CB" w:rsidRDefault="00F304CB" w:rsidP="00F304CB">
            <w:pPr>
              <w:jc w:val="center"/>
              <w:rPr>
                <w:rFonts w:ascii="Calibri" w:hAnsi="Calibri"/>
                <w:color w:val="000000"/>
                <w:szCs w:val="22"/>
              </w:rPr>
            </w:pPr>
            <w:r>
              <w:rPr>
                <w:rFonts w:ascii="Calibri" w:hAnsi="Calibri"/>
                <w:color w:val="000000"/>
                <w:szCs w:val="22"/>
              </w:rPr>
              <w:t>NS-5</w:t>
            </w:r>
          </w:p>
          <w:p w14:paraId="32FF04F9" w14:textId="1E8136CC" w:rsidR="00F304CB" w:rsidRDefault="00F304CB" w:rsidP="00F304CB">
            <w:pPr>
              <w:jc w:val="center"/>
              <w:rPr>
                <w:rFonts w:ascii="Calibri" w:hAnsi="Calibri"/>
                <w:color w:val="000000"/>
                <w:szCs w:val="22"/>
              </w:rPr>
            </w:pPr>
          </w:p>
        </w:tc>
        <w:tc>
          <w:tcPr>
            <w:tcW w:w="2370" w:type="dxa"/>
            <w:tcBorders>
              <w:top w:val="nil"/>
              <w:left w:val="nil"/>
              <w:bottom w:val="single" w:sz="8" w:space="0" w:color="000000"/>
              <w:right w:val="single" w:sz="8" w:space="0" w:color="000000"/>
            </w:tcBorders>
            <w:vAlign w:val="center"/>
          </w:tcPr>
          <w:p w14:paraId="7C6E8A49" w14:textId="2D45E912" w:rsidR="00F304CB" w:rsidRDefault="00F304CB" w:rsidP="00F304CB">
            <w:pPr>
              <w:jc w:val="center"/>
              <w:rPr>
                <w:rFonts w:ascii="Calibri" w:hAnsi="Calibri"/>
                <w:color w:val="000000"/>
                <w:szCs w:val="22"/>
              </w:rPr>
            </w:pPr>
            <w:r>
              <w:rPr>
                <w:rFonts w:ascii="Calibri" w:hAnsi="Calibri"/>
                <w:color w:val="000000"/>
                <w:szCs w:val="22"/>
              </w:rPr>
              <w:t>Near-shore 5</w:t>
            </w:r>
          </w:p>
        </w:tc>
        <w:tc>
          <w:tcPr>
            <w:tcW w:w="990" w:type="dxa"/>
            <w:tcBorders>
              <w:top w:val="nil"/>
              <w:left w:val="nil"/>
              <w:bottom w:val="single" w:sz="8" w:space="0" w:color="000000"/>
              <w:right w:val="single" w:sz="8" w:space="0" w:color="000000"/>
            </w:tcBorders>
            <w:vAlign w:val="center"/>
          </w:tcPr>
          <w:p w14:paraId="37BC1DD0" w14:textId="395A473C" w:rsidR="00F304CB" w:rsidRDefault="00F304CB" w:rsidP="00F304CB">
            <w:pPr>
              <w:jc w:val="center"/>
              <w:rPr>
                <w:rFonts w:ascii="Calibri" w:hAnsi="Calibri" w:cs="Calibri"/>
                <w:color w:val="000000"/>
                <w:szCs w:val="22"/>
              </w:rPr>
            </w:pPr>
            <w:r>
              <w:rPr>
                <w:rFonts w:ascii="Calibri" w:hAnsi="Calibri" w:cs="Calibri"/>
                <w:color w:val="000000"/>
                <w:szCs w:val="22"/>
              </w:rPr>
              <w:t>TBD</w:t>
            </w:r>
          </w:p>
        </w:tc>
        <w:tc>
          <w:tcPr>
            <w:tcW w:w="1127" w:type="dxa"/>
            <w:tcBorders>
              <w:top w:val="nil"/>
              <w:left w:val="nil"/>
              <w:bottom w:val="single" w:sz="8" w:space="0" w:color="000000"/>
              <w:right w:val="single" w:sz="8" w:space="0" w:color="000000"/>
            </w:tcBorders>
            <w:vAlign w:val="center"/>
          </w:tcPr>
          <w:p w14:paraId="68972C26" w14:textId="77777777" w:rsidR="00F304CB" w:rsidRDefault="00F304CB" w:rsidP="00F304CB">
            <w:pPr>
              <w:jc w:val="center"/>
              <w:rPr>
                <w:rFonts w:ascii="Calibri" w:hAnsi="Calibri" w:cs="Calibri"/>
                <w:color w:val="000000"/>
                <w:szCs w:val="22"/>
              </w:rPr>
            </w:pPr>
            <w:r>
              <w:rPr>
                <w:rFonts w:ascii="Calibri" w:hAnsi="Calibri" w:cs="Calibri"/>
                <w:color w:val="000000"/>
                <w:szCs w:val="22"/>
              </w:rPr>
              <w:t>TBD</w:t>
            </w:r>
          </w:p>
          <w:p w14:paraId="46D081D0" w14:textId="2BE76EEC" w:rsidR="00F304CB" w:rsidRDefault="00F304CB" w:rsidP="00F304CB">
            <w:pPr>
              <w:jc w:val="center"/>
              <w:rPr>
                <w:rFonts w:ascii="Calibri" w:hAnsi="Calibri" w:cs="Calibri"/>
                <w:color w:val="000000"/>
                <w:szCs w:val="22"/>
              </w:rPr>
            </w:pPr>
          </w:p>
        </w:tc>
        <w:tc>
          <w:tcPr>
            <w:tcW w:w="2032" w:type="dxa"/>
            <w:tcBorders>
              <w:top w:val="nil"/>
              <w:left w:val="nil"/>
              <w:bottom w:val="single" w:sz="8" w:space="0" w:color="000000"/>
              <w:right w:val="single" w:sz="8" w:space="0" w:color="000000"/>
            </w:tcBorders>
            <w:vAlign w:val="center"/>
          </w:tcPr>
          <w:p w14:paraId="08F5FFD9" w14:textId="77777777" w:rsidR="00F304CB" w:rsidRDefault="00F304CB" w:rsidP="00F304CB">
            <w:pPr>
              <w:jc w:val="center"/>
              <w:rPr>
                <w:rFonts w:ascii="Calibri" w:hAnsi="Calibri"/>
                <w:color w:val="000000"/>
                <w:szCs w:val="22"/>
              </w:rPr>
            </w:pPr>
            <w:r>
              <w:rPr>
                <w:rFonts w:ascii="Calibri" w:hAnsi="Calibri"/>
                <w:color w:val="000000"/>
                <w:szCs w:val="22"/>
              </w:rPr>
              <w:t>N/F/E</w:t>
            </w:r>
          </w:p>
          <w:p w14:paraId="4810ECD1" w14:textId="77777777" w:rsidR="00F304CB" w:rsidRDefault="00F304CB" w:rsidP="00F304CB">
            <w:pPr>
              <w:jc w:val="center"/>
              <w:rPr>
                <w:rFonts w:ascii="Calibri" w:hAnsi="Calibri"/>
                <w:color w:val="000000"/>
                <w:szCs w:val="22"/>
              </w:rPr>
            </w:pPr>
          </w:p>
        </w:tc>
        <w:tc>
          <w:tcPr>
            <w:tcW w:w="2211" w:type="dxa"/>
            <w:tcBorders>
              <w:top w:val="nil"/>
              <w:left w:val="nil"/>
              <w:bottom w:val="single" w:sz="8" w:space="0" w:color="000000"/>
              <w:right w:val="single" w:sz="8" w:space="0" w:color="000000"/>
            </w:tcBorders>
            <w:vAlign w:val="center"/>
          </w:tcPr>
          <w:p w14:paraId="6064D816" w14:textId="77777777" w:rsidR="00F304CB" w:rsidRDefault="00F304CB" w:rsidP="00F304CB">
            <w:pPr>
              <w:jc w:val="center"/>
              <w:rPr>
                <w:rFonts w:ascii="Calibri" w:hAnsi="Calibri"/>
                <w:color w:val="000000"/>
                <w:szCs w:val="22"/>
              </w:rPr>
            </w:pPr>
            <w:r>
              <w:rPr>
                <w:rFonts w:ascii="Calibri" w:hAnsi="Calibri"/>
                <w:color w:val="000000"/>
                <w:szCs w:val="22"/>
              </w:rPr>
              <w:t>Near Development</w:t>
            </w:r>
          </w:p>
          <w:p w14:paraId="4C59E91D" w14:textId="77777777" w:rsidR="00F304CB" w:rsidRDefault="00F304CB" w:rsidP="00F304CB">
            <w:pPr>
              <w:jc w:val="center"/>
              <w:rPr>
                <w:rFonts w:ascii="Calibri" w:hAnsi="Calibri"/>
                <w:color w:val="000000"/>
                <w:szCs w:val="22"/>
              </w:rPr>
            </w:pPr>
          </w:p>
        </w:tc>
      </w:tr>
      <w:tr w:rsidR="00F304CB" w14:paraId="1245CB4E" w14:textId="77777777" w:rsidTr="00E3742A">
        <w:trPr>
          <w:trHeight w:hRule="exact" w:val="270"/>
        </w:trPr>
        <w:tc>
          <w:tcPr>
            <w:tcW w:w="990" w:type="dxa"/>
            <w:tcBorders>
              <w:top w:val="nil"/>
              <w:left w:val="single" w:sz="8" w:space="0" w:color="000000"/>
              <w:bottom w:val="single" w:sz="8" w:space="0" w:color="000000"/>
              <w:right w:val="single" w:sz="8" w:space="0" w:color="000000"/>
            </w:tcBorders>
            <w:vAlign w:val="center"/>
          </w:tcPr>
          <w:p w14:paraId="6D4CA434" w14:textId="77777777" w:rsidR="00F304CB" w:rsidRDefault="00F304CB" w:rsidP="00F304CB">
            <w:pPr>
              <w:jc w:val="center"/>
              <w:rPr>
                <w:rFonts w:ascii="Calibri" w:hAnsi="Calibri"/>
                <w:color w:val="000000"/>
                <w:szCs w:val="22"/>
              </w:rPr>
            </w:pPr>
            <w:r>
              <w:rPr>
                <w:rFonts w:ascii="Calibri" w:hAnsi="Calibri"/>
                <w:color w:val="000000"/>
                <w:szCs w:val="22"/>
              </w:rPr>
              <w:t>NS-6</w:t>
            </w:r>
          </w:p>
          <w:p w14:paraId="28B6ABCC" w14:textId="4115683C" w:rsidR="00F304CB" w:rsidRDefault="00F304CB" w:rsidP="00F304CB">
            <w:pPr>
              <w:jc w:val="center"/>
              <w:rPr>
                <w:rFonts w:ascii="Calibri" w:hAnsi="Calibri"/>
                <w:color w:val="000000"/>
                <w:szCs w:val="22"/>
              </w:rPr>
            </w:pPr>
          </w:p>
        </w:tc>
        <w:tc>
          <w:tcPr>
            <w:tcW w:w="2370" w:type="dxa"/>
            <w:tcBorders>
              <w:top w:val="nil"/>
              <w:left w:val="nil"/>
              <w:bottom w:val="single" w:sz="8" w:space="0" w:color="000000"/>
              <w:right w:val="single" w:sz="8" w:space="0" w:color="000000"/>
            </w:tcBorders>
            <w:vAlign w:val="center"/>
          </w:tcPr>
          <w:p w14:paraId="02E98615" w14:textId="6C20F202" w:rsidR="00F304CB" w:rsidRDefault="00F304CB" w:rsidP="00F304CB">
            <w:pPr>
              <w:jc w:val="center"/>
              <w:rPr>
                <w:rFonts w:ascii="Calibri" w:hAnsi="Calibri"/>
                <w:color w:val="000000"/>
                <w:szCs w:val="22"/>
              </w:rPr>
            </w:pPr>
            <w:r>
              <w:rPr>
                <w:rFonts w:ascii="Calibri" w:hAnsi="Calibri"/>
                <w:color w:val="000000"/>
                <w:szCs w:val="22"/>
              </w:rPr>
              <w:t>Near-shore 6</w:t>
            </w:r>
          </w:p>
        </w:tc>
        <w:tc>
          <w:tcPr>
            <w:tcW w:w="990" w:type="dxa"/>
            <w:tcBorders>
              <w:top w:val="nil"/>
              <w:left w:val="nil"/>
              <w:bottom w:val="single" w:sz="8" w:space="0" w:color="000000"/>
              <w:right w:val="single" w:sz="8" w:space="0" w:color="000000"/>
            </w:tcBorders>
            <w:vAlign w:val="center"/>
          </w:tcPr>
          <w:p w14:paraId="53C9865B" w14:textId="0EFBEE66" w:rsidR="00F304CB" w:rsidRDefault="00F304CB" w:rsidP="00F304CB">
            <w:pPr>
              <w:jc w:val="center"/>
              <w:rPr>
                <w:rFonts w:ascii="Calibri" w:hAnsi="Calibri" w:cs="Calibri"/>
                <w:color w:val="000000"/>
                <w:szCs w:val="22"/>
              </w:rPr>
            </w:pPr>
            <w:r>
              <w:rPr>
                <w:rFonts w:ascii="Calibri" w:hAnsi="Calibri" w:cs="Calibri"/>
                <w:color w:val="000000"/>
                <w:szCs w:val="22"/>
              </w:rPr>
              <w:t>TBD</w:t>
            </w:r>
          </w:p>
        </w:tc>
        <w:tc>
          <w:tcPr>
            <w:tcW w:w="1127" w:type="dxa"/>
            <w:tcBorders>
              <w:top w:val="nil"/>
              <w:left w:val="nil"/>
              <w:bottom w:val="single" w:sz="8" w:space="0" w:color="000000"/>
              <w:right w:val="single" w:sz="8" w:space="0" w:color="000000"/>
            </w:tcBorders>
            <w:vAlign w:val="center"/>
          </w:tcPr>
          <w:p w14:paraId="71F5778C" w14:textId="77777777" w:rsidR="00F304CB" w:rsidRDefault="00F304CB" w:rsidP="00F304CB">
            <w:pPr>
              <w:jc w:val="center"/>
              <w:rPr>
                <w:rFonts w:ascii="Calibri" w:hAnsi="Calibri" w:cs="Calibri"/>
                <w:color w:val="000000"/>
                <w:szCs w:val="22"/>
              </w:rPr>
            </w:pPr>
            <w:r>
              <w:rPr>
                <w:rFonts w:ascii="Calibri" w:hAnsi="Calibri" w:cs="Calibri"/>
                <w:color w:val="000000"/>
                <w:szCs w:val="22"/>
              </w:rPr>
              <w:t>TBD</w:t>
            </w:r>
          </w:p>
          <w:p w14:paraId="753429C6" w14:textId="77777777" w:rsidR="00F304CB" w:rsidRDefault="00F304CB" w:rsidP="00F304CB">
            <w:pPr>
              <w:jc w:val="center"/>
              <w:rPr>
                <w:rFonts w:ascii="Calibri" w:hAnsi="Calibri" w:cs="Calibri"/>
                <w:color w:val="000000"/>
                <w:szCs w:val="22"/>
              </w:rPr>
            </w:pPr>
          </w:p>
        </w:tc>
        <w:tc>
          <w:tcPr>
            <w:tcW w:w="2032" w:type="dxa"/>
            <w:tcBorders>
              <w:top w:val="nil"/>
              <w:left w:val="nil"/>
              <w:bottom w:val="single" w:sz="8" w:space="0" w:color="000000"/>
              <w:right w:val="single" w:sz="8" w:space="0" w:color="000000"/>
            </w:tcBorders>
            <w:vAlign w:val="center"/>
          </w:tcPr>
          <w:p w14:paraId="17C29CEF" w14:textId="77777777" w:rsidR="00F304CB" w:rsidRDefault="00F304CB" w:rsidP="00F304CB">
            <w:pPr>
              <w:jc w:val="center"/>
              <w:rPr>
                <w:rFonts w:ascii="Calibri" w:hAnsi="Calibri"/>
                <w:color w:val="000000"/>
                <w:szCs w:val="22"/>
              </w:rPr>
            </w:pPr>
            <w:r>
              <w:rPr>
                <w:rFonts w:ascii="Calibri" w:hAnsi="Calibri"/>
                <w:color w:val="000000"/>
                <w:szCs w:val="22"/>
              </w:rPr>
              <w:t>N/F/E</w:t>
            </w:r>
          </w:p>
          <w:p w14:paraId="6D33842B" w14:textId="77777777" w:rsidR="00F304CB" w:rsidRDefault="00F304CB" w:rsidP="00F304CB">
            <w:pPr>
              <w:jc w:val="center"/>
              <w:rPr>
                <w:rFonts w:ascii="Calibri" w:hAnsi="Calibri"/>
                <w:color w:val="000000"/>
                <w:szCs w:val="22"/>
              </w:rPr>
            </w:pPr>
          </w:p>
        </w:tc>
        <w:tc>
          <w:tcPr>
            <w:tcW w:w="2211" w:type="dxa"/>
            <w:tcBorders>
              <w:top w:val="nil"/>
              <w:left w:val="nil"/>
              <w:bottom w:val="single" w:sz="8" w:space="0" w:color="000000"/>
              <w:right w:val="single" w:sz="8" w:space="0" w:color="000000"/>
            </w:tcBorders>
            <w:vAlign w:val="center"/>
          </w:tcPr>
          <w:p w14:paraId="200B479B" w14:textId="77777777" w:rsidR="00F304CB" w:rsidRDefault="00F304CB" w:rsidP="00F304CB">
            <w:pPr>
              <w:jc w:val="center"/>
              <w:rPr>
                <w:rFonts w:ascii="Calibri" w:hAnsi="Calibri"/>
                <w:color w:val="000000"/>
                <w:szCs w:val="22"/>
              </w:rPr>
            </w:pPr>
            <w:r>
              <w:rPr>
                <w:rFonts w:ascii="Calibri" w:hAnsi="Calibri"/>
                <w:color w:val="000000"/>
                <w:szCs w:val="22"/>
              </w:rPr>
              <w:t>Near Development</w:t>
            </w:r>
          </w:p>
          <w:p w14:paraId="6C624D8B" w14:textId="77777777" w:rsidR="00F304CB" w:rsidRDefault="00F304CB" w:rsidP="00F304CB">
            <w:pPr>
              <w:jc w:val="center"/>
              <w:rPr>
                <w:rFonts w:ascii="Calibri" w:hAnsi="Calibri"/>
                <w:color w:val="000000"/>
                <w:szCs w:val="22"/>
              </w:rPr>
            </w:pPr>
          </w:p>
        </w:tc>
      </w:tr>
      <w:tr w:rsidR="00F304CB" w14:paraId="01C36CB5" w14:textId="77777777" w:rsidTr="00E3742A">
        <w:trPr>
          <w:trHeight w:hRule="exact" w:val="270"/>
        </w:trPr>
        <w:tc>
          <w:tcPr>
            <w:tcW w:w="990" w:type="dxa"/>
            <w:tcBorders>
              <w:top w:val="nil"/>
              <w:left w:val="single" w:sz="8" w:space="0" w:color="000000"/>
              <w:bottom w:val="single" w:sz="8" w:space="0" w:color="000000"/>
              <w:right w:val="single" w:sz="8" w:space="0" w:color="000000"/>
            </w:tcBorders>
            <w:vAlign w:val="center"/>
          </w:tcPr>
          <w:p w14:paraId="1A9521EA" w14:textId="4096F32C" w:rsidR="00F304CB" w:rsidRDefault="00F304CB" w:rsidP="00F304CB">
            <w:pPr>
              <w:jc w:val="center"/>
              <w:rPr>
                <w:rFonts w:ascii="Calibri" w:hAnsi="Calibri"/>
                <w:color w:val="000000"/>
                <w:szCs w:val="22"/>
              </w:rPr>
            </w:pPr>
            <w:r>
              <w:rPr>
                <w:rFonts w:ascii="Calibri" w:hAnsi="Calibri"/>
                <w:color w:val="000000"/>
                <w:szCs w:val="22"/>
              </w:rPr>
              <w:t>NS-7</w:t>
            </w:r>
          </w:p>
        </w:tc>
        <w:tc>
          <w:tcPr>
            <w:tcW w:w="2370" w:type="dxa"/>
            <w:tcBorders>
              <w:top w:val="nil"/>
              <w:left w:val="nil"/>
              <w:bottom w:val="single" w:sz="8" w:space="0" w:color="000000"/>
              <w:right w:val="single" w:sz="8" w:space="0" w:color="000000"/>
            </w:tcBorders>
            <w:vAlign w:val="center"/>
          </w:tcPr>
          <w:p w14:paraId="6642D8C9" w14:textId="2AA7CA52" w:rsidR="00F304CB" w:rsidRDefault="00F304CB" w:rsidP="00F304CB">
            <w:pPr>
              <w:jc w:val="center"/>
              <w:rPr>
                <w:rFonts w:ascii="Calibri" w:hAnsi="Calibri"/>
                <w:color w:val="000000"/>
                <w:szCs w:val="22"/>
              </w:rPr>
            </w:pPr>
            <w:r>
              <w:rPr>
                <w:rFonts w:ascii="Calibri" w:hAnsi="Calibri"/>
                <w:color w:val="000000"/>
                <w:szCs w:val="22"/>
              </w:rPr>
              <w:t>Near-shore 7</w:t>
            </w:r>
          </w:p>
        </w:tc>
        <w:tc>
          <w:tcPr>
            <w:tcW w:w="990" w:type="dxa"/>
            <w:tcBorders>
              <w:top w:val="nil"/>
              <w:left w:val="nil"/>
              <w:bottom w:val="single" w:sz="8" w:space="0" w:color="000000"/>
              <w:right w:val="single" w:sz="8" w:space="0" w:color="000000"/>
            </w:tcBorders>
            <w:vAlign w:val="center"/>
          </w:tcPr>
          <w:p w14:paraId="2D837B80" w14:textId="70F83469" w:rsidR="00F304CB" w:rsidRDefault="00F304CB" w:rsidP="00F304CB">
            <w:pPr>
              <w:jc w:val="center"/>
              <w:rPr>
                <w:rFonts w:ascii="Calibri" w:hAnsi="Calibri" w:cs="Calibri"/>
                <w:color w:val="000000"/>
                <w:szCs w:val="22"/>
              </w:rPr>
            </w:pPr>
            <w:r>
              <w:rPr>
                <w:rFonts w:ascii="Calibri" w:hAnsi="Calibri" w:cs="Calibri"/>
                <w:color w:val="000000"/>
                <w:szCs w:val="22"/>
              </w:rPr>
              <w:t>TBD</w:t>
            </w:r>
          </w:p>
        </w:tc>
        <w:tc>
          <w:tcPr>
            <w:tcW w:w="1127" w:type="dxa"/>
            <w:tcBorders>
              <w:top w:val="nil"/>
              <w:left w:val="nil"/>
              <w:bottom w:val="single" w:sz="8" w:space="0" w:color="000000"/>
              <w:right w:val="single" w:sz="8" w:space="0" w:color="000000"/>
            </w:tcBorders>
            <w:vAlign w:val="center"/>
          </w:tcPr>
          <w:p w14:paraId="7CFF9867" w14:textId="77777777" w:rsidR="00F304CB" w:rsidRDefault="00F304CB" w:rsidP="00F304CB">
            <w:pPr>
              <w:jc w:val="center"/>
              <w:rPr>
                <w:rFonts w:ascii="Calibri" w:hAnsi="Calibri" w:cs="Calibri"/>
                <w:color w:val="000000"/>
                <w:szCs w:val="22"/>
              </w:rPr>
            </w:pPr>
            <w:r>
              <w:rPr>
                <w:rFonts w:ascii="Calibri" w:hAnsi="Calibri" w:cs="Calibri"/>
                <w:color w:val="000000"/>
                <w:szCs w:val="22"/>
              </w:rPr>
              <w:t>TBD</w:t>
            </w:r>
          </w:p>
          <w:p w14:paraId="2825A73B" w14:textId="77777777" w:rsidR="00F304CB" w:rsidRDefault="00F304CB" w:rsidP="00F304CB">
            <w:pPr>
              <w:jc w:val="center"/>
              <w:rPr>
                <w:rFonts w:ascii="Calibri" w:hAnsi="Calibri" w:cs="Calibri"/>
                <w:color w:val="000000"/>
                <w:szCs w:val="22"/>
              </w:rPr>
            </w:pPr>
          </w:p>
        </w:tc>
        <w:tc>
          <w:tcPr>
            <w:tcW w:w="2032" w:type="dxa"/>
            <w:tcBorders>
              <w:top w:val="nil"/>
              <w:left w:val="nil"/>
              <w:bottom w:val="single" w:sz="8" w:space="0" w:color="000000"/>
              <w:right w:val="single" w:sz="8" w:space="0" w:color="000000"/>
            </w:tcBorders>
            <w:vAlign w:val="center"/>
          </w:tcPr>
          <w:p w14:paraId="6BC6C36C" w14:textId="77777777" w:rsidR="00F304CB" w:rsidRDefault="00F304CB" w:rsidP="00F304CB">
            <w:pPr>
              <w:jc w:val="center"/>
              <w:rPr>
                <w:rFonts w:ascii="Calibri" w:hAnsi="Calibri"/>
                <w:color w:val="000000"/>
                <w:szCs w:val="22"/>
              </w:rPr>
            </w:pPr>
            <w:r>
              <w:rPr>
                <w:rFonts w:ascii="Calibri" w:hAnsi="Calibri"/>
                <w:color w:val="000000"/>
                <w:szCs w:val="22"/>
              </w:rPr>
              <w:t>N/F/E</w:t>
            </w:r>
          </w:p>
          <w:p w14:paraId="478D5215" w14:textId="77777777" w:rsidR="00F304CB" w:rsidRDefault="00F304CB" w:rsidP="00F304CB">
            <w:pPr>
              <w:jc w:val="center"/>
              <w:rPr>
                <w:rFonts w:ascii="Calibri" w:hAnsi="Calibri"/>
                <w:color w:val="000000"/>
                <w:szCs w:val="22"/>
              </w:rPr>
            </w:pPr>
          </w:p>
        </w:tc>
        <w:tc>
          <w:tcPr>
            <w:tcW w:w="2211" w:type="dxa"/>
            <w:tcBorders>
              <w:top w:val="nil"/>
              <w:left w:val="nil"/>
              <w:bottom w:val="single" w:sz="8" w:space="0" w:color="000000"/>
              <w:right w:val="single" w:sz="8" w:space="0" w:color="000000"/>
            </w:tcBorders>
            <w:vAlign w:val="center"/>
          </w:tcPr>
          <w:p w14:paraId="4343F654" w14:textId="77777777" w:rsidR="00F304CB" w:rsidRDefault="00F304CB" w:rsidP="00F304CB">
            <w:pPr>
              <w:jc w:val="center"/>
              <w:rPr>
                <w:rFonts w:ascii="Calibri" w:hAnsi="Calibri"/>
                <w:color w:val="000000"/>
                <w:szCs w:val="22"/>
              </w:rPr>
            </w:pPr>
            <w:r>
              <w:rPr>
                <w:rFonts w:ascii="Calibri" w:hAnsi="Calibri"/>
                <w:color w:val="000000"/>
                <w:szCs w:val="22"/>
              </w:rPr>
              <w:t>Near Development</w:t>
            </w:r>
          </w:p>
          <w:p w14:paraId="1392CCB1" w14:textId="77777777" w:rsidR="00F304CB" w:rsidRDefault="00F304CB" w:rsidP="00F304CB">
            <w:pPr>
              <w:jc w:val="center"/>
              <w:rPr>
                <w:rFonts w:ascii="Calibri" w:hAnsi="Calibri"/>
                <w:color w:val="000000"/>
                <w:szCs w:val="22"/>
              </w:rPr>
            </w:pPr>
          </w:p>
        </w:tc>
      </w:tr>
      <w:tr w:rsidR="00F304CB" w14:paraId="348D987B" w14:textId="77777777" w:rsidTr="00E3742A">
        <w:trPr>
          <w:trHeight w:hRule="exact" w:val="270"/>
        </w:trPr>
        <w:tc>
          <w:tcPr>
            <w:tcW w:w="990" w:type="dxa"/>
            <w:tcBorders>
              <w:top w:val="nil"/>
              <w:left w:val="single" w:sz="8" w:space="0" w:color="000000"/>
              <w:bottom w:val="single" w:sz="8" w:space="0" w:color="000000"/>
              <w:right w:val="single" w:sz="8" w:space="0" w:color="000000"/>
            </w:tcBorders>
            <w:vAlign w:val="center"/>
          </w:tcPr>
          <w:p w14:paraId="412E1D64" w14:textId="0DF24C53" w:rsidR="00F304CB" w:rsidRDefault="00F304CB" w:rsidP="00F304CB">
            <w:pPr>
              <w:jc w:val="center"/>
              <w:rPr>
                <w:rFonts w:ascii="Calibri" w:hAnsi="Calibri"/>
                <w:color w:val="000000"/>
                <w:szCs w:val="22"/>
              </w:rPr>
            </w:pPr>
            <w:r>
              <w:rPr>
                <w:rFonts w:ascii="Calibri" w:hAnsi="Calibri"/>
                <w:color w:val="000000"/>
                <w:szCs w:val="22"/>
              </w:rPr>
              <w:t>NS-</w:t>
            </w:r>
            <w:r w:rsidR="00B22153">
              <w:rPr>
                <w:rFonts w:ascii="Calibri" w:hAnsi="Calibri"/>
                <w:color w:val="000000"/>
                <w:szCs w:val="22"/>
              </w:rPr>
              <w:t>8</w:t>
            </w:r>
          </w:p>
        </w:tc>
        <w:tc>
          <w:tcPr>
            <w:tcW w:w="2370" w:type="dxa"/>
            <w:tcBorders>
              <w:top w:val="nil"/>
              <w:left w:val="nil"/>
              <w:bottom w:val="single" w:sz="8" w:space="0" w:color="000000"/>
              <w:right w:val="single" w:sz="8" w:space="0" w:color="000000"/>
            </w:tcBorders>
            <w:vAlign w:val="center"/>
          </w:tcPr>
          <w:p w14:paraId="212A63AB" w14:textId="3D591CB6" w:rsidR="00F304CB" w:rsidRDefault="00F304CB" w:rsidP="00F304CB">
            <w:pPr>
              <w:jc w:val="center"/>
              <w:rPr>
                <w:rFonts w:ascii="Calibri" w:hAnsi="Calibri"/>
                <w:color w:val="000000"/>
                <w:szCs w:val="22"/>
              </w:rPr>
            </w:pPr>
            <w:r>
              <w:rPr>
                <w:rFonts w:ascii="Calibri" w:hAnsi="Calibri"/>
                <w:color w:val="000000"/>
                <w:szCs w:val="22"/>
              </w:rPr>
              <w:t>Near-shore 8</w:t>
            </w:r>
          </w:p>
        </w:tc>
        <w:tc>
          <w:tcPr>
            <w:tcW w:w="990" w:type="dxa"/>
            <w:tcBorders>
              <w:top w:val="nil"/>
              <w:left w:val="nil"/>
              <w:bottom w:val="single" w:sz="8" w:space="0" w:color="000000"/>
              <w:right w:val="single" w:sz="8" w:space="0" w:color="000000"/>
            </w:tcBorders>
            <w:vAlign w:val="center"/>
          </w:tcPr>
          <w:p w14:paraId="723E5589" w14:textId="748695C9" w:rsidR="00F304CB" w:rsidRDefault="00F304CB" w:rsidP="00F304CB">
            <w:pPr>
              <w:jc w:val="center"/>
              <w:rPr>
                <w:rFonts w:ascii="Calibri" w:hAnsi="Calibri" w:cs="Calibri"/>
                <w:color w:val="000000"/>
                <w:szCs w:val="22"/>
              </w:rPr>
            </w:pPr>
            <w:r>
              <w:rPr>
                <w:rFonts w:ascii="Calibri" w:hAnsi="Calibri" w:cs="Calibri"/>
                <w:color w:val="000000"/>
                <w:szCs w:val="22"/>
              </w:rPr>
              <w:t>TBD</w:t>
            </w:r>
          </w:p>
        </w:tc>
        <w:tc>
          <w:tcPr>
            <w:tcW w:w="1127" w:type="dxa"/>
            <w:tcBorders>
              <w:top w:val="nil"/>
              <w:left w:val="nil"/>
              <w:bottom w:val="single" w:sz="8" w:space="0" w:color="000000"/>
              <w:right w:val="single" w:sz="8" w:space="0" w:color="000000"/>
            </w:tcBorders>
            <w:vAlign w:val="center"/>
          </w:tcPr>
          <w:p w14:paraId="6A2D2F49" w14:textId="77777777" w:rsidR="00F304CB" w:rsidRDefault="00F304CB" w:rsidP="00F304CB">
            <w:pPr>
              <w:jc w:val="center"/>
              <w:rPr>
                <w:rFonts w:ascii="Calibri" w:hAnsi="Calibri" w:cs="Calibri"/>
                <w:color w:val="000000"/>
                <w:szCs w:val="22"/>
              </w:rPr>
            </w:pPr>
            <w:r>
              <w:rPr>
                <w:rFonts w:ascii="Calibri" w:hAnsi="Calibri" w:cs="Calibri"/>
                <w:color w:val="000000"/>
                <w:szCs w:val="22"/>
              </w:rPr>
              <w:t>TBD</w:t>
            </w:r>
          </w:p>
          <w:p w14:paraId="5C644E5F" w14:textId="77777777" w:rsidR="00F304CB" w:rsidRDefault="00F304CB" w:rsidP="00F304CB">
            <w:pPr>
              <w:jc w:val="center"/>
              <w:rPr>
                <w:rFonts w:ascii="Calibri" w:hAnsi="Calibri" w:cs="Calibri"/>
                <w:color w:val="000000"/>
                <w:szCs w:val="22"/>
              </w:rPr>
            </w:pPr>
          </w:p>
        </w:tc>
        <w:tc>
          <w:tcPr>
            <w:tcW w:w="2032" w:type="dxa"/>
            <w:tcBorders>
              <w:top w:val="nil"/>
              <w:left w:val="nil"/>
              <w:bottom w:val="single" w:sz="8" w:space="0" w:color="000000"/>
              <w:right w:val="single" w:sz="8" w:space="0" w:color="000000"/>
            </w:tcBorders>
            <w:vAlign w:val="center"/>
          </w:tcPr>
          <w:p w14:paraId="214DC42B" w14:textId="77777777" w:rsidR="00F304CB" w:rsidRDefault="00F304CB" w:rsidP="00F304CB">
            <w:pPr>
              <w:jc w:val="center"/>
              <w:rPr>
                <w:rFonts w:ascii="Calibri" w:hAnsi="Calibri"/>
                <w:color w:val="000000"/>
                <w:szCs w:val="22"/>
              </w:rPr>
            </w:pPr>
            <w:r>
              <w:rPr>
                <w:rFonts w:ascii="Calibri" w:hAnsi="Calibri"/>
                <w:color w:val="000000"/>
                <w:szCs w:val="22"/>
              </w:rPr>
              <w:t>N/F/E</w:t>
            </w:r>
          </w:p>
          <w:p w14:paraId="0F1F780B" w14:textId="77777777" w:rsidR="00F304CB" w:rsidRDefault="00F304CB" w:rsidP="00F304CB">
            <w:pPr>
              <w:jc w:val="center"/>
              <w:rPr>
                <w:rFonts w:ascii="Calibri" w:hAnsi="Calibri"/>
                <w:color w:val="000000"/>
                <w:szCs w:val="22"/>
              </w:rPr>
            </w:pPr>
          </w:p>
        </w:tc>
        <w:tc>
          <w:tcPr>
            <w:tcW w:w="2211" w:type="dxa"/>
            <w:tcBorders>
              <w:top w:val="nil"/>
              <w:left w:val="nil"/>
              <w:bottom w:val="single" w:sz="8" w:space="0" w:color="000000"/>
              <w:right w:val="single" w:sz="8" w:space="0" w:color="000000"/>
            </w:tcBorders>
            <w:vAlign w:val="center"/>
          </w:tcPr>
          <w:p w14:paraId="3F6B5C52" w14:textId="77777777" w:rsidR="00F304CB" w:rsidRDefault="00F304CB" w:rsidP="00F304CB">
            <w:pPr>
              <w:jc w:val="center"/>
              <w:rPr>
                <w:rFonts w:ascii="Calibri" w:hAnsi="Calibri"/>
                <w:color w:val="000000"/>
                <w:szCs w:val="22"/>
              </w:rPr>
            </w:pPr>
            <w:r>
              <w:rPr>
                <w:rFonts w:ascii="Calibri" w:hAnsi="Calibri"/>
                <w:color w:val="000000"/>
                <w:szCs w:val="22"/>
              </w:rPr>
              <w:t>Near Development</w:t>
            </w:r>
          </w:p>
          <w:p w14:paraId="454CF631" w14:textId="77777777" w:rsidR="00F304CB" w:rsidRDefault="00F304CB" w:rsidP="00F304CB">
            <w:pPr>
              <w:jc w:val="center"/>
              <w:rPr>
                <w:rFonts w:ascii="Calibri" w:hAnsi="Calibri"/>
                <w:color w:val="000000"/>
                <w:szCs w:val="22"/>
              </w:rPr>
            </w:pPr>
          </w:p>
        </w:tc>
      </w:tr>
      <w:tr w:rsidR="00F304CB" w14:paraId="5FFB9D9F" w14:textId="77777777" w:rsidTr="00E3742A">
        <w:trPr>
          <w:trHeight w:val="255"/>
        </w:trPr>
        <w:tc>
          <w:tcPr>
            <w:tcW w:w="9720" w:type="dxa"/>
            <w:gridSpan w:val="6"/>
            <w:noWrap/>
            <w:vAlign w:val="center"/>
            <w:hideMark/>
          </w:tcPr>
          <w:p w14:paraId="4C491B90" w14:textId="3B921053" w:rsidR="00F304CB" w:rsidRDefault="00F304CB" w:rsidP="00F304CB">
            <w:pPr>
              <w:rPr>
                <w:rFonts w:ascii="Calibri" w:hAnsi="Calibri"/>
                <w:color w:val="000000"/>
                <w:sz w:val="16"/>
                <w:szCs w:val="16"/>
              </w:rPr>
            </w:pPr>
            <w:r>
              <w:rPr>
                <w:rFonts w:ascii="Calibri" w:hAnsi="Calibri"/>
                <w:color w:val="000000"/>
                <w:sz w:val="16"/>
                <w:szCs w:val="16"/>
              </w:rPr>
              <w:t>N=nutrients, F=field parameters, CW=chlorophyll-a in water, CB=chlorophyll-a from benthic substrate, TSS=total suspended sediment, DOC=dissolved organic carbon, A=alkalinity, E=E coli</w:t>
            </w:r>
          </w:p>
          <w:p w14:paraId="50C2E5ED" w14:textId="7CC27D2D" w:rsidR="00F304CB" w:rsidRDefault="00F304CB" w:rsidP="00F304CB">
            <w:pPr>
              <w:rPr>
                <w:rFonts w:ascii="Calibri" w:hAnsi="Calibri"/>
                <w:color w:val="000000"/>
                <w:sz w:val="16"/>
                <w:szCs w:val="16"/>
              </w:rPr>
            </w:pPr>
          </w:p>
        </w:tc>
      </w:tr>
    </w:tbl>
    <w:p w14:paraId="131666CC" w14:textId="25DD08FA" w:rsidR="00EA12B4" w:rsidRDefault="00EA12B4" w:rsidP="00E3742A">
      <w:pPr>
        <w:rPr>
          <w:rFonts w:cstheme="minorHAnsi"/>
          <w:szCs w:val="22"/>
        </w:rPr>
      </w:pPr>
      <w:r w:rsidRPr="00343E17">
        <w:rPr>
          <w:rFonts w:cstheme="minorHAnsi"/>
          <w:szCs w:val="22"/>
        </w:rPr>
        <w:t xml:space="preserve">*These </w:t>
      </w:r>
      <w:r>
        <w:rPr>
          <w:rFonts w:cstheme="minorHAnsi"/>
          <w:szCs w:val="22"/>
        </w:rPr>
        <w:t xml:space="preserve">are proposed sampling locations which </w:t>
      </w:r>
      <w:r w:rsidRPr="00343E17">
        <w:rPr>
          <w:rFonts w:cstheme="minorHAnsi"/>
          <w:szCs w:val="22"/>
        </w:rPr>
        <w:t xml:space="preserve">may change due to unforeseen access or other issues. </w:t>
      </w:r>
    </w:p>
    <w:p w14:paraId="2BAE24E1" w14:textId="77777777" w:rsidR="00E3742A" w:rsidRPr="00343E17" w:rsidRDefault="00E3742A" w:rsidP="00E3742A">
      <w:pPr>
        <w:rPr>
          <w:rFonts w:cstheme="minorHAnsi"/>
          <w:szCs w:val="22"/>
        </w:rPr>
      </w:pPr>
    </w:p>
    <w:p w14:paraId="1A113064" w14:textId="77777777" w:rsidR="00EA12B4" w:rsidRPr="00782B6E" w:rsidRDefault="00EA12B4" w:rsidP="00EA12B4">
      <w:pPr>
        <w:pStyle w:val="Heading2"/>
      </w:pPr>
      <w:bookmarkStart w:id="19" w:name="_Toc109055208"/>
      <w:r>
        <w:t>2.3 Monitoring Schedule</w:t>
      </w:r>
      <w:bookmarkEnd w:id="19"/>
    </w:p>
    <w:p w14:paraId="7442494B" w14:textId="129FF5DE" w:rsidR="00E3742A" w:rsidRDefault="00E3742A" w:rsidP="00E3742A">
      <w:pPr>
        <w:pStyle w:val="BodyText"/>
        <w:ind w:left="100" w:right="353"/>
        <w:rPr>
          <w:szCs w:val="22"/>
        </w:rPr>
      </w:pPr>
      <w:r>
        <w:rPr>
          <w:szCs w:val="22"/>
        </w:rPr>
        <w:t>Sampling will be conducted in August 20</w:t>
      </w:r>
      <w:r w:rsidR="00FF6DE8">
        <w:rPr>
          <w:szCs w:val="22"/>
        </w:rPr>
        <w:t>2</w:t>
      </w:r>
      <w:r w:rsidR="00F304CB">
        <w:rPr>
          <w:szCs w:val="22"/>
        </w:rPr>
        <w:t>2</w:t>
      </w:r>
      <w:r>
        <w:rPr>
          <w:szCs w:val="22"/>
        </w:rPr>
        <w:t xml:space="preserve"> when high water temperatures and algae blooms on Little Bitterroot Lake are likely to occur. This time frame also coincides with the annual lake association meeting where data and results from previous years are presented to a large audience. August is when most sampling has occurred during previous years, which will allow for comparability with previously collected data.  Only one sampling event is planned for Little Bitterroot Lake in 20</w:t>
      </w:r>
      <w:r w:rsidR="00FF6DE8">
        <w:rPr>
          <w:szCs w:val="22"/>
        </w:rPr>
        <w:t>2</w:t>
      </w:r>
      <w:r w:rsidR="00F304CB">
        <w:rPr>
          <w:szCs w:val="22"/>
        </w:rPr>
        <w:t>2</w:t>
      </w:r>
      <w:r>
        <w:rPr>
          <w:szCs w:val="22"/>
        </w:rPr>
        <w:t xml:space="preserve">. </w:t>
      </w:r>
    </w:p>
    <w:p w14:paraId="2E02C320" w14:textId="621F06AD" w:rsidR="00E3742A" w:rsidRDefault="00E3742A" w:rsidP="00E3742A">
      <w:pPr>
        <w:spacing w:after="3"/>
        <w:ind w:left="299"/>
        <w:rPr>
          <w:b/>
        </w:rPr>
      </w:pPr>
      <w:r>
        <w:rPr>
          <w:b/>
        </w:rPr>
        <w:t>Table 4. Monitoring Schedule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5"/>
        <w:gridCol w:w="2792"/>
        <w:gridCol w:w="3421"/>
      </w:tblGrid>
      <w:tr w:rsidR="00E3742A" w14:paraId="5858E5E8" w14:textId="77777777" w:rsidTr="00E3742A">
        <w:trPr>
          <w:trHeight w:hRule="exact" w:val="310"/>
          <w:jc w:val="center"/>
        </w:trPr>
        <w:tc>
          <w:tcPr>
            <w:tcW w:w="2715" w:type="dxa"/>
            <w:tcBorders>
              <w:top w:val="single" w:sz="4" w:space="0" w:color="000000"/>
              <w:left w:val="single" w:sz="4" w:space="0" w:color="000000"/>
              <w:bottom w:val="single" w:sz="4" w:space="0" w:color="000000"/>
              <w:right w:val="single" w:sz="4" w:space="0" w:color="000000"/>
            </w:tcBorders>
            <w:shd w:val="clear" w:color="auto" w:fill="D9D9D9"/>
            <w:hideMark/>
          </w:tcPr>
          <w:p w14:paraId="3B046649" w14:textId="77777777" w:rsidR="00E3742A" w:rsidRDefault="00E3742A">
            <w:pPr>
              <w:pStyle w:val="TableParagraph"/>
              <w:spacing w:before="28"/>
              <w:ind w:left="772"/>
              <w:jc w:val="left"/>
              <w:rPr>
                <w:b/>
              </w:rPr>
            </w:pPr>
            <w:r>
              <w:rPr>
                <w:b/>
              </w:rPr>
              <w:t>Sample Date</w:t>
            </w:r>
          </w:p>
        </w:tc>
        <w:tc>
          <w:tcPr>
            <w:tcW w:w="2792" w:type="dxa"/>
            <w:tcBorders>
              <w:top w:val="single" w:sz="4" w:space="0" w:color="000000"/>
              <w:left w:val="single" w:sz="4" w:space="0" w:color="000000"/>
              <w:bottom w:val="single" w:sz="4" w:space="0" w:color="000000"/>
              <w:right w:val="single" w:sz="4" w:space="0" w:color="000000"/>
            </w:tcBorders>
            <w:shd w:val="clear" w:color="auto" w:fill="D9D9D9"/>
            <w:hideMark/>
          </w:tcPr>
          <w:p w14:paraId="32D4D92F" w14:textId="77777777" w:rsidR="00E3742A" w:rsidRDefault="00E3742A">
            <w:pPr>
              <w:pStyle w:val="TableParagraph"/>
              <w:spacing w:before="28"/>
              <w:ind w:left="861"/>
              <w:jc w:val="left"/>
              <w:rPr>
                <w:b/>
              </w:rPr>
            </w:pPr>
            <w:r>
              <w:rPr>
                <w:b/>
              </w:rPr>
              <w:t>Parameters</w:t>
            </w:r>
          </w:p>
        </w:tc>
        <w:tc>
          <w:tcPr>
            <w:tcW w:w="3421" w:type="dxa"/>
            <w:tcBorders>
              <w:top w:val="single" w:sz="4" w:space="0" w:color="000000"/>
              <w:left w:val="single" w:sz="4" w:space="0" w:color="000000"/>
              <w:bottom w:val="single" w:sz="4" w:space="0" w:color="000000"/>
              <w:right w:val="single" w:sz="4" w:space="0" w:color="000000"/>
            </w:tcBorders>
            <w:shd w:val="clear" w:color="auto" w:fill="D9D9D9"/>
            <w:hideMark/>
          </w:tcPr>
          <w:p w14:paraId="2A9CB1AC" w14:textId="77777777" w:rsidR="00E3742A" w:rsidRDefault="00E3742A">
            <w:pPr>
              <w:pStyle w:val="TableParagraph"/>
              <w:spacing w:before="28"/>
              <w:ind w:left="525"/>
              <w:jc w:val="left"/>
              <w:rPr>
                <w:b/>
              </w:rPr>
            </w:pPr>
            <w:r>
              <w:rPr>
                <w:b/>
              </w:rPr>
              <w:t>Reason for Date Selection</w:t>
            </w:r>
          </w:p>
        </w:tc>
      </w:tr>
      <w:tr w:rsidR="00E3742A" w14:paraId="77E862D3" w14:textId="77777777" w:rsidTr="00E3742A">
        <w:trPr>
          <w:trHeight w:hRule="exact" w:val="1354"/>
          <w:jc w:val="center"/>
        </w:trPr>
        <w:tc>
          <w:tcPr>
            <w:tcW w:w="2715" w:type="dxa"/>
            <w:tcBorders>
              <w:top w:val="single" w:sz="4" w:space="0" w:color="000000"/>
              <w:left w:val="single" w:sz="4" w:space="0" w:color="000000"/>
              <w:bottom w:val="single" w:sz="4" w:space="0" w:color="000000"/>
              <w:right w:val="single" w:sz="4" w:space="0" w:color="000000"/>
            </w:tcBorders>
            <w:vAlign w:val="center"/>
            <w:hideMark/>
          </w:tcPr>
          <w:p w14:paraId="6578C7A0" w14:textId="381E3DD0" w:rsidR="00E3742A" w:rsidRDefault="00E3742A">
            <w:pPr>
              <w:pStyle w:val="TableParagraph"/>
              <w:spacing w:before="0"/>
            </w:pPr>
            <w:r>
              <w:t>August 202</w:t>
            </w:r>
            <w:r w:rsidR="00F304CB">
              <w:t>2</w:t>
            </w:r>
          </w:p>
          <w:p w14:paraId="658F36DD" w14:textId="77777777" w:rsidR="00E3742A" w:rsidRDefault="00E3742A">
            <w:pPr>
              <w:pStyle w:val="TableParagraph"/>
              <w:spacing w:before="0"/>
            </w:pPr>
            <w:r>
              <w:t>(</w:t>
            </w:r>
            <w:proofErr w:type="gramStart"/>
            <w:r>
              <w:t>planned</w:t>
            </w:r>
            <w:proofErr w:type="gramEnd"/>
            <w:r>
              <w:t xml:space="preserve"> early August)</w:t>
            </w:r>
          </w:p>
        </w:tc>
        <w:tc>
          <w:tcPr>
            <w:tcW w:w="2792" w:type="dxa"/>
            <w:tcBorders>
              <w:top w:val="single" w:sz="4" w:space="0" w:color="000000"/>
              <w:left w:val="single" w:sz="4" w:space="0" w:color="000000"/>
              <w:bottom w:val="single" w:sz="4" w:space="0" w:color="000000"/>
              <w:right w:val="single" w:sz="4" w:space="0" w:color="000000"/>
            </w:tcBorders>
            <w:vAlign w:val="center"/>
          </w:tcPr>
          <w:p w14:paraId="4238B226" w14:textId="77777777" w:rsidR="00E3742A" w:rsidRDefault="00E3742A">
            <w:pPr>
              <w:pStyle w:val="TableParagraph"/>
              <w:spacing w:before="9"/>
            </w:pPr>
          </w:p>
          <w:p w14:paraId="14172AEF" w14:textId="37C6544C" w:rsidR="00E3742A" w:rsidRDefault="00E3742A">
            <w:pPr>
              <w:pStyle w:val="TableParagraph"/>
              <w:spacing w:before="0"/>
              <w:ind w:left="175" w:right="159" w:firstLine="112"/>
            </w:pPr>
            <w:r>
              <w:t>Nutrients, Chlorophyll-a, Field parameters, TSS, DOC, Alkalinity, Ca, E. Coli</w:t>
            </w:r>
          </w:p>
          <w:p w14:paraId="57D6BF1B" w14:textId="77777777" w:rsidR="00E3742A" w:rsidRDefault="00E3742A">
            <w:pPr>
              <w:pStyle w:val="TableParagraph"/>
              <w:spacing w:before="0"/>
              <w:ind w:right="159"/>
            </w:pPr>
          </w:p>
        </w:tc>
        <w:tc>
          <w:tcPr>
            <w:tcW w:w="3421" w:type="dxa"/>
            <w:tcBorders>
              <w:top w:val="single" w:sz="4" w:space="0" w:color="000000"/>
              <w:left w:val="single" w:sz="4" w:space="0" w:color="000000"/>
              <w:bottom w:val="single" w:sz="4" w:space="0" w:color="000000"/>
              <w:right w:val="single" w:sz="4" w:space="0" w:color="000000"/>
            </w:tcBorders>
            <w:vAlign w:val="center"/>
            <w:hideMark/>
          </w:tcPr>
          <w:p w14:paraId="646E560F" w14:textId="77777777" w:rsidR="00E3742A" w:rsidRDefault="00E3742A">
            <w:pPr>
              <w:pStyle w:val="TableParagraph"/>
              <w:spacing w:before="0"/>
              <w:ind w:left="237" w:right="243"/>
            </w:pPr>
            <w:r>
              <w:t>Mid-summer, most likely time to catch algae blooms and high temperatures, comparable to previous data, coincides with annual meeting</w:t>
            </w:r>
          </w:p>
        </w:tc>
      </w:tr>
    </w:tbl>
    <w:p w14:paraId="43D92C3F" w14:textId="77777777" w:rsidR="00F56197" w:rsidRDefault="00F56197" w:rsidP="00E803CC"/>
    <w:p w14:paraId="323FA818" w14:textId="77777777" w:rsidR="00F56197" w:rsidRDefault="00F56197">
      <w:pPr>
        <w:rPr>
          <w:rFonts w:cstheme="minorHAnsi"/>
          <w:b/>
          <w:bCs/>
          <w:iCs/>
          <w:smallCaps/>
          <w:sz w:val="32"/>
          <w:szCs w:val="22"/>
        </w:rPr>
      </w:pPr>
      <w:r>
        <w:br w:type="page"/>
      </w:r>
    </w:p>
    <w:p w14:paraId="3BE32547" w14:textId="7D835422" w:rsidR="00EA12B4" w:rsidRDefault="00F56197" w:rsidP="00EA12B4">
      <w:pPr>
        <w:pStyle w:val="Heading2"/>
      </w:pPr>
      <w:bookmarkStart w:id="20" w:name="_Toc109055209"/>
      <w:r>
        <w:lastRenderedPageBreak/>
        <w:t>2</w:t>
      </w:r>
      <w:r w:rsidR="00EA12B4">
        <w:t>.4</w:t>
      </w:r>
      <w:r w:rsidR="00CB6B30">
        <w:t xml:space="preserve"> </w:t>
      </w:r>
      <w:r w:rsidR="00EA12B4">
        <w:t>Water Quality Parameters</w:t>
      </w:r>
      <w:bookmarkEnd w:id="20"/>
    </w:p>
    <w:p w14:paraId="70392BF0" w14:textId="77777777" w:rsidR="00F56197" w:rsidRDefault="00F56197" w:rsidP="00EA12B4">
      <w:pPr>
        <w:rPr>
          <w:b/>
        </w:rPr>
      </w:pPr>
    </w:p>
    <w:p w14:paraId="0600F4DF" w14:textId="54EBAC2D" w:rsidR="00CB6B30" w:rsidRPr="00CB6B30" w:rsidRDefault="00CB6B30" w:rsidP="00EA12B4">
      <w:pPr>
        <w:rPr>
          <w:b/>
        </w:rPr>
      </w:pPr>
      <w:r w:rsidRPr="00CB6B30">
        <w:rPr>
          <w:b/>
        </w:rPr>
        <w:t>Table 5. Water Quality Parameters</w:t>
      </w:r>
    </w:p>
    <w:tbl>
      <w:tblPr>
        <w:tblW w:w="9630" w:type="dxa"/>
        <w:tblInd w:w="-5" w:type="dxa"/>
        <w:tblLook w:val="04A0" w:firstRow="1" w:lastRow="0" w:firstColumn="1" w:lastColumn="0" w:noHBand="0" w:noVBand="1"/>
      </w:tblPr>
      <w:tblGrid>
        <w:gridCol w:w="2800"/>
        <w:gridCol w:w="3460"/>
        <w:gridCol w:w="3370"/>
      </w:tblGrid>
      <w:tr w:rsidR="00CB6B30" w:rsidRPr="00CB6B30" w14:paraId="1EA2968D" w14:textId="77777777" w:rsidTr="00CB6B30">
        <w:trPr>
          <w:trHeight w:val="300"/>
          <w:tblHeader/>
        </w:trPr>
        <w:tc>
          <w:tcPr>
            <w:tcW w:w="280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A0732E" w14:textId="77777777" w:rsidR="00CB6B30" w:rsidRPr="00CB6B30" w:rsidRDefault="00CB6B30" w:rsidP="00CB6B30">
            <w:pPr>
              <w:jc w:val="center"/>
              <w:rPr>
                <w:rFonts w:ascii="Calibri" w:hAnsi="Calibri" w:cs="Calibri"/>
                <w:b/>
                <w:bCs/>
                <w:color w:val="000000"/>
                <w:szCs w:val="22"/>
              </w:rPr>
            </w:pPr>
            <w:r w:rsidRPr="00CB6B30">
              <w:rPr>
                <w:rFonts w:ascii="Calibri" w:hAnsi="Calibri" w:cs="Calibri"/>
                <w:b/>
                <w:bCs/>
                <w:color w:val="000000"/>
                <w:szCs w:val="22"/>
              </w:rPr>
              <w:t>Parameter or Data Type</w:t>
            </w:r>
          </w:p>
        </w:tc>
        <w:tc>
          <w:tcPr>
            <w:tcW w:w="3460" w:type="dxa"/>
            <w:tcBorders>
              <w:top w:val="single" w:sz="4" w:space="0" w:color="auto"/>
              <w:left w:val="nil"/>
              <w:bottom w:val="single" w:sz="4" w:space="0" w:color="auto"/>
              <w:right w:val="single" w:sz="4" w:space="0" w:color="auto"/>
            </w:tcBorders>
            <w:shd w:val="clear" w:color="000000" w:fill="F2F2F2"/>
            <w:noWrap/>
            <w:vAlign w:val="bottom"/>
            <w:hideMark/>
          </w:tcPr>
          <w:p w14:paraId="416F7F68" w14:textId="77777777" w:rsidR="00CB6B30" w:rsidRPr="00CB6B30" w:rsidRDefault="00CB6B30" w:rsidP="00CB6B30">
            <w:pPr>
              <w:jc w:val="center"/>
              <w:rPr>
                <w:rFonts w:ascii="Calibri" w:hAnsi="Calibri" w:cs="Calibri"/>
                <w:b/>
                <w:bCs/>
                <w:color w:val="000000"/>
                <w:szCs w:val="22"/>
              </w:rPr>
            </w:pPr>
            <w:r w:rsidRPr="00CB6B30">
              <w:rPr>
                <w:rFonts w:ascii="Calibri" w:hAnsi="Calibri" w:cs="Calibri"/>
                <w:b/>
                <w:bCs/>
                <w:color w:val="000000"/>
                <w:szCs w:val="22"/>
              </w:rPr>
              <w:t>Collection Approach</w:t>
            </w:r>
          </w:p>
        </w:tc>
        <w:tc>
          <w:tcPr>
            <w:tcW w:w="3370" w:type="dxa"/>
            <w:tcBorders>
              <w:top w:val="single" w:sz="4" w:space="0" w:color="auto"/>
              <w:left w:val="nil"/>
              <w:bottom w:val="single" w:sz="4" w:space="0" w:color="auto"/>
              <w:right w:val="single" w:sz="4" w:space="0" w:color="auto"/>
            </w:tcBorders>
            <w:shd w:val="clear" w:color="000000" w:fill="F2F2F2"/>
            <w:noWrap/>
            <w:vAlign w:val="bottom"/>
            <w:hideMark/>
          </w:tcPr>
          <w:p w14:paraId="6D778E7F" w14:textId="77777777" w:rsidR="00CB6B30" w:rsidRPr="00CB6B30" w:rsidRDefault="00CB6B30" w:rsidP="00CB6B30">
            <w:pPr>
              <w:jc w:val="center"/>
              <w:rPr>
                <w:rFonts w:ascii="Calibri" w:hAnsi="Calibri" w:cs="Calibri"/>
                <w:b/>
                <w:bCs/>
                <w:color w:val="000000"/>
                <w:szCs w:val="22"/>
              </w:rPr>
            </w:pPr>
            <w:r w:rsidRPr="00CB6B30">
              <w:rPr>
                <w:rFonts w:ascii="Calibri" w:hAnsi="Calibri" w:cs="Calibri"/>
                <w:b/>
                <w:bCs/>
                <w:color w:val="000000"/>
                <w:szCs w:val="22"/>
              </w:rPr>
              <w:t>Justification for Collecting</w:t>
            </w:r>
          </w:p>
        </w:tc>
      </w:tr>
      <w:tr w:rsidR="00FF6DE8" w:rsidRPr="00CB6B30" w14:paraId="012166A2" w14:textId="77777777" w:rsidTr="007B0E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5E764ECD" w14:textId="77777777" w:rsidR="00FF6DE8" w:rsidRPr="00F56197" w:rsidRDefault="00FF6DE8" w:rsidP="00CB6B30">
            <w:pPr>
              <w:rPr>
                <w:rFonts w:ascii="Calibri" w:hAnsi="Calibri" w:cs="Calibri"/>
                <w:szCs w:val="22"/>
              </w:rPr>
            </w:pPr>
            <w:r w:rsidRPr="00F56197">
              <w:rPr>
                <w:rFonts w:ascii="Calibri" w:hAnsi="Calibri" w:cs="Calibri"/>
                <w:szCs w:val="22"/>
              </w:rPr>
              <w:t>Total Nitrogen (TN)</w:t>
            </w:r>
          </w:p>
        </w:tc>
        <w:tc>
          <w:tcPr>
            <w:tcW w:w="3460" w:type="dxa"/>
            <w:vMerge w:val="restart"/>
            <w:tcBorders>
              <w:top w:val="nil"/>
              <w:left w:val="single" w:sz="4" w:space="0" w:color="auto"/>
              <w:right w:val="single" w:sz="4" w:space="0" w:color="auto"/>
            </w:tcBorders>
            <w:shd w:val="clear" w:color="auto" w:fill="auto"/>
            <w:vAlign w:val="center"/>
            <w:hideMark/>
          </w:tcPr>
          <w:p w14:paraId="7BB9F56C" w14:textId="77777777" w:rsidR="00FF6DE8" w:rsidRPr="00F56197" w:rsidRDefault="00FF6DE8" w:rsidP="00CB6B30">
            <w:pPr>
              <w:jc w:val="center"/>
              <w:rPr>
                <w:rFonts w:ascii="Calibri" w:hAnsi="Calibri" w:cs="Calibri"/>
                <w:szCs w:val="22"/>
              </w:rPr>
            </w:pPr>
            <w:r w:rsidRPr="00F56197">
              <w:rPr>
                <w:rFonts w:ascii="Calibri" w:hAnsi="Calibri" w:cs="Calibri"/>
                <w:szCs w:val="22"/>
              </w:rPr>
              <w:t>Parameters measured via water samples analyzed by an analytical lab</w:t>
            </w:r>
          </w:p>
        </w:tc>
        <w:tc>
          <w:tcPr>
            <w:tcW w:w="3370" w:type="dxa"/>
            <w:vMerge w:val="restart"/>
            <w:tcBorders>
              <w:top w:val="nil"/>
              <w:left w:val="single" w:sz="4" w:space="0" w:color="auto"/>
              <w:right w:val="single" w:sz="4" w:space="0" w:color="auto"/>
            </w:tcBorders>
            <w:shd w:val="clear" w:color="auto" w:fill="auto"/>
            <w:vAlign w:val="center"/>
            <w:hideMark/>
          </w:tcPr>
          <w:p w14:paraId="2809201B" w14:textId="582D93A4" w:rsidR="00FF6DE8" w:rsidRPr="00F56197" w:rsidRDefault="00FF6DE8" w:rsidP="00CB6B30">
            <w:pPr>
              <w:jc w:val="center"/>
              <w:rPr>
                <w:rFonts w:ascii="Calibri" w:hAnsi="Calibri" w:cs="Calibri"/>
                <w:szCs w:val="22"/>
              </w:rPr>
            </w:pPr>
            <w:r w:rsidRPr="00F56197">
              <w:rPr>
                <w:rFonts w:ascii="Calibri" w:hAnsi="Calibri" w:cs="Calibri"/>
                <w:szCs w:val="22"/>
              </w:rPr>
              <w:t xml:space="preserve">Existing nutrient impairments, trend analysis. </w:t>
            </w:r>
          </w:p>
        </w:tc>
      </w:tr>
      <w:tr w:rsidR="00FF6DE8" w:rsidRPr="00CB6B30" w14:paraId="6AD97669" w14:textId="77777777" w:rsidTr="007B0E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796AF884" w14:textId="77777777" w:rsidR="00FF6DE8" w:rsidRPr="00F56197" w:rsidRDefault="00FF6DE8" w:rsidP="00CB6B30">
            <w:pPr>
              <w:rPr>
                <w:rFonts w:ascii="Calibri" w:hAnsi="Calibri" w:cs="Calibri"/>
                <w:szCs w:val="22"/>
              </w:rPr>
            </w:pPr>
            <w:r w:rsidRPr="00F56197">
              <w:rPr>
                <w:rFonts w:ascii="Calibri" w:hAnsi="Calibri" w:cs="Calibri"/>
                <w:szCs w:val="22"/>
              </w:rPr>
              <w:t>Total Phosphorus (TP)</w:t>
            </w:r>
          </w:p>
        </w:tc>
        <w:tc>
          <w:tcPr>
            <w:tcW w:w="3460" w:type="dxa"/>
            <w:vMerge/>
            <w:tcBorders>
              <w:left w:val="single" w:sz="4" w:space="0" w:color="auto"/>
              <w:right w:val="single" w:sz="4" w:space="0" w:color="auto"/>
            </w:tcBorders>
            <w:vAlign w:val="center"/>
            <w:hideMark/>
          </w:tcPr>
          <w:p w14:paraId="17CCCB7B" w14:textId="77777777" w:rsidR="00FF6DE8" w:rsidRPr="00F56197" w:rsidRDefault="00FF6DE8" w:rsidP="00CB6B30">
            <w:pPr>
              <w:rPr>
                <w:rFonts w:ascii="Calibri" w:hAnsi="Calibri" w:cs="Calibri"/>
                <w:szCs w:val="22"/>
              </w:rPr>
            </w:pPr>
          </w:p>
        </w:tc>
        <w:tc>
          <w:tcPr>
            <w:tcW w:w="3370" w:type="dxa"/>
            <w:vMerge/>
            <w:tcBorders>
              <w:left w:val="single" w:sz="4" w:space="0" w:color="auto"/>
              <w:right w:val="single" w:sz="4" w:space="0" w:color="auto"/>
            </w:tcBorders>
            <w:vAlign w:val="center"/>
            <w:hideMark/>
          </w:tcPr>
          <w:p w14:paraId="26A6DF83" w14:textId="77777777" w:rsidR="00FF6DE8" w:rsidRPr="00F56197" w:rsidRDefault="00FF6DE8" w:rsidP="00CB6B30">
            <w:pPr>
              <w:rPr>
                <w:rFonts w:ascii="Calibri" w:hAnsi="Calibri" w:cs="Calibri"/>
                <w:szCs w:val="22"/>
              </w:rPr>
            </w:pPr>
          </w:p>
        </w:tc>
      </w:tr>
      <w:tr w:rsidR="00FF6DE8" w:rsidRPr="00CB6B30" w14:paraId="5B8F2DE9" w14:textId="77777777" w:rsidTr="007B0E0D">
        <w:trPr>
          <w:trHeight w:val="36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33A08179" w14:textId="77777777" w:rsidR="00FF6DE8" w:rsidRPr="00F56197" w:rsidRDefault="00FF6DE8" w:rsidP="00CB6B30">
            <w:pPr>
              <w:rPr>
                <w:rFonts w:ascii="Calibri" w:hAnsi="Calibri" w:cs="Calibri"/>
                <w:szCs w:val="22"/>
              </w:rPr>
            </w:pPr>
            <w:r w:rsidRPr="00F56197">
              <w:rPr>
                <w:rFonts w:ascii="Calibri" w:hAnsi="Calibri" w:cs="Calibri"/>
                <w:szCs w:val="22"/>
              </w:rPr>
              <w:t>Nitrite plus Nitrate (NO</w:t>
            </w:r>
            <w:r w:rsidRPr="00F56197">
              <w:rPr>
                <w:rFonts w:ascii="Calibri" w:hAnsi="Calibri" w:cs="Calibri"/>
                <w:szCs w:val="22"/>
                <w:vertAlign w:val="subscript"/>
              </w:rPr>
              <w:t>2+3</w:t>
            </w:r>
            <w:r w:rsidRPr="00F56197">
              <w:rPr>
                <w:rFonts w:ascii="Calibri" w:hAnsi="Calibri" w:cs="Calibri"/>
                <w:szCs w:val="22"/>
              </w:rPr>
              <w:t>)</w:t>
            </w:r>
          </w:p>
        </w:tc>
        <w:tc>
          <w:tcPr>
            <w:tcW w:w="3460" w:type="dxa"/>
            <w:vMerge/>
            <w:tcBorders>
              <w:left w:val="single" w:sz="4" w:space="0" w:color="auto"/>
              <w:right w:val="single" w:sz="4" w:space="0" w:color="auto"/>
            </w:tcBorders>
            <w:vAlign w:val="center"/>
            <w:hideMark/>
          </w:tcPr>
          <w:p w14:paraId="2F93C504" w14:textId="77777777" w:rsidR="00FF6DE8" w:rsidRPr="00F56197" w:rsidRDefault="00FF6DE8" w:rsidP="00CB6B30">
            <w:pPr>
              <w:rPr>
                <w:rFonts w:ascii="Calibri" w:hAnsi="Calibri" w:cs="Calibri"/>
                <w:szCs w:val="22"/>
              </w:rPr>
            </w:pPr>
          </w:p>
        </w:tc>
        <w:tc>
          <w:tcPr>
            <w:tcW w:w="3370" w:type="dxa"/>
            <w:vMerge/>
            <w:tcBorders>
              <w:left w:val="single" w:sz="4" w:space="0" w:color="auto"/>
              <w:right w:val="single" w:sz="4" w:space="0" w:color="auto"/>
            </w:tcBorders>
            <w:vAlign w:val="center"/>
            <w:hideMark/>
          </w:tcPr>
          <w:p w14:paraId="52F9FDEC" w14:textId="77777777" w:rsidR="00FF6DE8" w:rsidRPr="00F56197" w:rsidRDefault="00FF6DE8" w:rsidP="00CB6B30">
            <w:pPr>
              <w:rPr>
                <w:rFonts w:ascii="Calibri" w:hAnsi="Calibri" w:cs="Calibri"/>
                <w:szCs w:val="22"/>
              </w:rPr>
            </w:pPr>
          </w:p>
        </w:tc>
      </w:tr>
      <w:tr w:rsidR="00FF6DE8" w:rsidRPr="00CB6B30" w14:paraId="0146E255" w14:textId="77777777" w:rsidTr="00FF6DE8">
        <w:trPr>
          <w:trHeight w:val="211"/>
        </w:trPr>
        <w:tc>
          <w:tcPr>
            <w:tcW w:w="2800" w:type="dxa"/>
            <w:tcBorders>
              <w:top w:val="nil"/>
              <w:left w:val="single" w:sz="4" w:space="0" w:color="auto"/>
              <w:bottom w:val="single" w:sz="4" w:space="0" w:color="auto"/>
              <w:right w:val="single" w:sz="4" w:space="0" w:color="auto"/>
            </w:tcBorders>
            <w:shd w:val="clear" w:color="auto" w:fill="auto"/>
            <w:noWrap/>
            <w:vAlign w:val="center"/>
          </w:tcPr>
          <w:p w14:paraId="7E24626C" w14:textId="7186B221" w:rsidR="00FF6DE8" w:rsidRPr="00F56197" w:rsidRDefault="00FF6DE8" w:rsidP="00CB6B30">
            <w:pPr>
              <w:rPr>
                <w:rFonts w:ascii="Calibri" w:hAnsi="Calibri" w:cs="Calibri"/>
                <w:szCs w:val="22"/>
              </w:rPr>
            </w:pPr>
            <w:r w:rsidRPr="00F56197">
              <w:rPr>
                <w:rFonts w:ascii="Calibri" w:hAnsi="Calibri" w:cs="Calibri"/>
                <w:szCs w:val="22"/>
              </w:rPr>
              <w:t>Total Ammonia</w:t>
            </w:r>
          </w:p>
        </w:tc>
        <w:tc>
          <w:tcPr>
            <w:tcW w:w="3460" w:type="dxa"/>
            <w:vMerge/>
            <w:tcBorders>
              <w:left w:val="single" w:sz="4" w:space="0" w:color="auto"/>
              <w:right w:val="single" w:sz="4" w:space="0" w:color="auto"/>
            </w:tcBorders>
            <w:vAlign w:val="center"/>
          </w:tcPr>
          <w:p w14:paraId="54E0C7B6" w14:textId="77777777" w:rsidR="00FF6DE8" w:rsidRPr="00F56197" w:rsidRDefault="00FF6DE8" w:rsidP="00CB6B30">
            <w:pPr>
              <w:rPr>
                <w:rFonts w:ascii="Calibri" w:hAnsi="Calibri" w:cs="Calibri"/>
                <w:szCs w:val="22"/>
              </w:rPr>
            </w:pPr>
          </w:p>
        </w:tc>
        <w:tc>
          <w:tcPr>
            <w:tcW w:w="3370" w:type="dxa"/>
            <w:vMerge/>
            <w:tcBorders>
              <w:left w:val="single" w:sz="4" w:space="0" w:color="auto"/>
              <w:right w:val="single" w:sz="4" w:space="0" w:color="auto"/>
            </w:tcBorders>
            <w:shd w:val="clear" w:color="auto" w:fill="auto"/>
            <w:vAlign w:val="center"/>
          </w:tcPr>
          <w:p w14:paraId="4E5A8255" w14:textId="77777777" w:rsidR="00FF6DE8" w:rsidRPr="00F56197" w:rsidRDefault="00FF6DE8" w:rsidP="00CB6B30">
            <w:pPr>
              <w:jc w:val="center"/>
              <w:rPr>
                <w:rFonts w:ascii="Calibri" w:hAnsi="Calibri" w:cs="Calibri"/>
                <w:szCs w:val="22"/>
              </w:rPr>
            </w:pPr>
          </w:p>
        </w:tc>
      </w:tr>
      <w:tr w:rsidR="00FF6DE8" w:rsidRPr="00CB6B30" w14:paraId="6991AD4A" w14:textId="77777777" w:rsidTr="00FF6DE8">
        <w:trPr>
          <w:trHeight w:val="391"/>
        </w:trPr>
        <w:tc>
          <w:tcPr>
            <w:tcW w:w="2800" w:type="dxa"/>
            <w:tcBorders>
              <w:top w:val="nil"/>
              <w:left w:val="single" w:sz="4" w:space="0" w:color="auto"/>
              <w:bottom w:val="single" w:sz="4" w:space="0" w:color="auto"/>
              <w:right w:val="single" w:sz="4" w:space="0" w:color="auto"/>
            </w:tcBorders>
            <w:shd w:val="clear" w:color="auto" w:fill="auto"/>
            <w:noWrap/>
            <w:vAlign w:val="center"/>
          </w:tcPr>
          <w:p w14:paraId="52A313F9" w14:textId="7AA2D130" w:rsidR="00FF6DE8" w:rsidRPr="00F56197" w:rsidRDefault="00FF6DE8" w:rsidP="00CB6B30">
            <w:pPr>
              <w:rPr>
                <w:rFonts w:ascii="Calibri" w:hAnsi="Calibri" w:cs="Calibri"/>
                <w:szCs w:val="22"/>
              </w:rPr>
            </w:pPr>
            <w:r w:rsidRPr="00F56197">
              <w:rPr>
                <w:rFonts w:ascii="Calibri" w:hAnsi="Calibri" w:cs="Calibri"/>
                <w:szCs w:val="22"/>
              </w:rPr>
              <w:t>Dissolved Orthophosphate</w:t>
            </w:r>
          </w:p>
        </w:tc>
        <w:tc>
          <w:tcPr>
            <w:tcW w:w="3460" w:type="dxa"/>
            <w:vMerge/>
            <w:tcBorders>
              <w:left w:val="single" w:sz="4" w:space="0" w:color="auto"/>
              <w:right w:val="single" w:sz="4" w:space="0" w:color="auto"/>
            </w:tcBorders>
            <w:vAlign w:val="center"/>
          </w:tcPr>
          <w:p w14:paraId="55420681" w14:textId="77777777" w:rsidR="00FF6DE8" w:rsidRPr="00F56197" w:rsidRDefault="00FF6DE8" w:rsidP="00CB6B30">
            <w:pPr>
              <w:rPr>
                <w:rFonts w:ascii="Calibri" w:hAnsi="Calibri" w:cs="Calibri"/>
                <w:szCs w:val="22"/>
              </w:rPr>
            </w:pPr>
          </w:p>
        </w:tc>
        <w:tc>
          <w:tcPr>
            <w:tcW w:w="3370" w:type="dxa"/>
            <w:vMerge/>
            <w:tcBorders>
              <w:left w:val="single" w:sz="4" w:space="0" w:color="auto"/>
              <w:bottom w:val="single" w:sz="4" w:space="0" w:color="auto"/>
              <w:right w:val="single" w:sz="4" w:space="0" w:color="auto"/>
            </w:tcBorders>
            <w:shd w:val="clear" w:color="auto" w:fill="auto"/>
            <w:vAlign w:val="center"/>
          </w:tcPr>
          <w:p w14:paraId="610074E7" w14:textId="77777777" w:rsidR="00FF6DE8" w:rsidRPr="00F56197" w:rsidRDefault="00FF6DE8" w:rsidP="00CB6B30">
            <w:pPr>
              <w:jc w:val="center"/>
              <w:rPr>
                <w:rFonts w:ascii="Calibri" w:hAnsi="Calibri" w:cs="Calibri"/>
                <w:szCs w:val="22"/>
              </w:rPr>
            </w:pPr>
          </w:p>
        </w:tc>
      </w:tr>
      <w:tr w:rsidR="00FF6DE8" w:rsidRPr="00CB6B30" w14:paraId="35FECB64" w14:textId="77777777" w:rsidTr="007B0E0D">
        <w:trPr>
          <w:trHeight w:val="60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1EE1220E" w14:textId="77777777" w:rsidR="00FF6DE8" w:rsidRPr="00F56197" w:rsidRDefault="00FF6DE8" w:rsidP="00CB6B30">
            <w:pPr>
              <w:rPr>
                <w:rFonts w:ascii="Calibri" w:hAnsi="Calibri" w:cs="Calibri"/>
                <w:szCs w:val="22"/>
              </w:rPr>
            </w:pPr>
            <w:r w:rsidRPr="00F56197">
              <w:rPr>
                <w:rFonts w:ascii="Calibri" w:hAnsi="Calibri" w:cs="Calibri"/>
                <w:szCs w:val="22"/>
              </w:rPr>
              <w:t>Total suspended solids (TSS)</w:t>
            </w:r>
          </w:p>
        </w:tc>
        <w:tc>
          <w:tcPr>
            <w:tcW w:w="3460" w:type="dxa"/>
            <w:vMerge/>
            <w:tcBorders>
              <w:left w:val="single" w:sz="4" w:space="0" w:color="auto"/>
              <w:right w:val="single" w:sz="4" w:space="0" w:color="auto"/>
            </w:tcBorders>
            <w:vAlign w:val="center"/>
            <w:hideMark/>
          </w:tcPr>
          <w:p w14:paraId="3DE447D5" w14:textId="77777777" w:rsidR="00FF6DE8" w:rsidRPr="00F56197" w:rsidRDefault="00FF6DE8" w:rsidP="00CB6B30">
            <w:pPr>
              <w:rPr>
                <w:rFonts w:ascii="Calibri" w:hAnsi="Calibri" w:cs="Calibri"/>
                <w:szCs w:val="22"/>
              </w:rPr>
            </w:pPr>
          </w:p>
        </w:tc>
        <w:tc>
          <w:tcPr>
            <w:tcW w:w="3370" w:type="dxa"/>
            <w:tcBorders>
              <w:top w:val="nil"/>
              <w:left w:val="nil"/>
              <w:bottom w:val="single" w:sz="4" w:space="0" w:color="auto"/>
              <w:right w:val="single" w:sz="4" w:space="0" w:color="auto"/>
            </w:tcBorders>
            <w:shd w:val="clear" w:color="auto" w:fill="auto"/>
            <w:vAlign w:val="center"/>
            <w:hideMark/>
          </w:tcPr>
          <w:p w14:paraId="79A47A8F" w14:textId="3D2C759D" w:rsidR="00FF6DE8" w:rsidRPr="00F56197" w:rsidRDefault="00FF6DE8" w:rsidP="00CB6B30">
            <w:pPr>
              <w:jc w:val="center"/>
              <w:rPr>
                <w:rFonts w:ascii="Calibri" w:hAnsi="Calibri" w:cs="Calibri"/>
                <w:szCs w:val="22"/>
              </w:rPr>
            </w:pPr>
            <w:r w:rsidRPr="00F56197">
              <w:rPr>
                <w:rFonts w:ascii="Calibri" w:hAnsi="Calibri" w:cs="Calibri"/>
                <w:szCs w:val="22"/>
              </w:rPr>
              <w:t>Help evaluate nutrient patterns and sediment inputs from surrounding watershed</w:t>
            </w:r>
          </w:p>
        </w:tc>
      </w:tr>
      <w:tr w:rsidR="00FF6DE8" w:rsidRPr="00CB6B30" w14:paraId="1F1EBA4F" w14:textId="77777777" w:rsidTr="007B0E0D">
        <w:trPr>
          <w:trHeight w:val="600"/>
        </w:trPr>
        <w:tc>
          <w:tcPr>
            <w:tcW w:w="2800" w:type="dxa"/>
            <w:tcBorders>
              <w:top w:val="nil"/>
              <w:left w:val="single" w:sz="4" w:space="0" w:color="auto"/>
              <w:bottom w:val="single" w:sz="4" w:space="0" w:color="auto"/>
              <w:right w:val="single" w:sz="4" w:space="0" w:color="auto"/>
            </w:tcBorders>
            <w:shd w:val="clear" w:color="auto" w:fill="auto"/>
            <w:noWrap/>
            <w:vAlign w:val="center"/>
          </w:tcPr>
          <w:p w14:paraId="2935D2BD" w14:textId="1A8D3A1F" w:rsidR="00FF6DE8" w:rsidRPr="00F56197" w:rsidRDefault="00FF6DE8" w:rsidP="00CB6B30">
            <w:pPr>
              <w:rPr>
                <w:rFonts w:ascii="Calibri" w:hAnsi="Calibri" w:cs="Calibri"/>
                <w:szCs w:val="22"/>
              </w:rPr>
            </w:pPr>
            <w:r w:rsidRPr="00F56197">
              <w:rPr>
                <w:rFonts w:ascii="Calibri" w:hAnsi="Calibri" w:cs="Calibri"/>
                <w:szCs w:val="22"/>
              </w:rPr>
              <w:t xml:space="preserve">Dissolved </w:t>
            </w:r>
            <w:r w:rsidR="00E803CC">
              <w:rPr>
                <w:rFonts w:ascii="Calibri" w:hAnsi="Calibri" w:cs="Calibri"/>
                <w:szCs w:val="22"/>
              </w:rPr>
              <w:t xml:space="preserve">and Total </w:t>
            </w:r>
            <w:r w:rsidRPr="00F56197">
              <w:rPr>
                <w:rFonts w:ascii="Calibri" w:hAnsi="Calibri" w:cs="Calibri"/>
                <w:szCs w:val="22"/>
              </w:rPr>
              <w:t>Organic Carbon</w:t>
            </w:r>
          </w:p>
        </w:tc>
        <w:tc>
          <w:tcPr>
            <w:tcW w:w="3460" w:type="dxa"/>
            <w:vMerge/>
            <w:tcBorders>
              <w:left w:val="single" w:sz="4" w:space="0" w:color="auto"/>
              <w:right w:val="single" w:sz="4" w:space="0" w:color="auto"/>
            </w:tcBorders>
            <w:vAlign w:val="center"/>
          </w:tcPr>
          <w:p w14:paraId="10E26F02" w14:textId="77777777" w:rsidR="00FF6DE8" w:rsidRPr="00F56197" w:rsidRDefault="00FF6DE8" w:rsidP="00CB6B30">
            <w:pPr>
              <w:rPr>
                <w:rFonts w:ascii="Calibri" w:hAnsi="Calibri" w:cs="Calibri"/>
                <w:szCs w:val="22"/>
              </w:rPr>
            </w:pPr>
          </w:p>
        </w:tc>
        <w:tc>
          <w:tcPr>
            <w:tcW w:w="3370" w:type="dxa"/>
            <w:tcBorders>
              <w:top w:val="nil"/>
              <w:left w:val="nil"/>
              <w:bottom w:val="single" w:sz="4" w:space="0" w:color="auto"/>
              <w:right w:val="single" w:sz="4" w:space="0" w:color="auto"/>
            </w:tcBorders>
            <w:shd w:val="clear" w:color="auto" w:fill="auto"/>
            <w:vAlign w:val="center"/>
          </w:tcPr>
          <w:p w14:paraId="59C96B1A" w14:textId="65F7D172" w:rsidR="00FF6DE8" w:rsidRPr="00F56197" w:rsidRDefault="00FF6DE8" w:rsidP="00CB6B30">
            <w:pPr>
              <w:jc w:val="center"/>
              <w:rPr>
                <w:rFonts w:ascii="Calibri" w:hAnsi="Calibri" w:cs="Calibri"/>
                <w:szCs w:val="22"/>
              </w:rPr>
            </w:pPr>
            <w:r w:rsidRPr="00F56197">
              <w:rPr>
                <w:rFonts w:ascii="Calibri" w:hAnsi="Calibri" w:cs="Calibri"/>
                <w:szCs w:val="22"/>
              </w:rPr>
              <w:t>Nutrient for food web, evaluate carbon inputs from surrounding watershed</w:t>
            </w:r>
          </w:p>
        </w:tc>
      </w:tr>
      <w:tr w:rsidR="00FF6DE8" w:rsidRPr="00CB6B30" w14:paraId="22815285" w14:textId="77777777" w:rsidTr="007B0E0D">
        <w:trPr>
          <w:trHeight w:val="600"/>
        </w:trPr>
        <w:tc>
          <w:tcPr>
            <w:tcW w:w="2800" w:type="dxa"/>
            <w:tcBorders>
              <w:top w:val="nil"/>
              <w:left w:val="single" w:sz="4" w:space="0" w:color="auto"/>
              <w:bottom w:val="single" w:sz="4" w:space="0" w:color="auto"/>
              <w:right w:val="single" w:sz="4" w:space="0" w:color="auto"/>
            </w:tcBorders>
            <w:shd w:val="clear" w:color="auto" w:fill="auto"/>
            <w:noWrap/>
            <w:vAlign w:val="center"/>
          </w:tcPr>
          <w:p w14:paraId="322E9832" w14:textId="3676B38F" w:rsidR="00FF6DE8" w:rsidRPr="00F56197" w:rsidRDefault="00FF6DE8" w:rsidP="00CB6B30">
            <w:pPr>
              <w:rPr>
                <w:rFonts w:ascii="Calibri" w:hAnsi="Calibri" w:cs="Calibri"/>
                <w:szCs w:val="22"/>
              </w:rPr>
            </w:pPr>
            <w:r w:rsidRPr="00F56197">
              <w:rPr>
                <w:rFonts w:ascii="Calibri" w:hAnsi="Calibri" w:cs="Calibri"/>
                <w:szCs w:val="22"/>
              </w:rPr>
              <w:t>Calcium and Alkalinity</w:t>
            </w:r>
          </w:p>
        </w:tc>
        <w:tc>
          <w:tcPr>
            <w:tcW w:w="3460" w:type="dxa"/>
            <w:vMerge/>
            <w:tcBorders>
              <w:left w:val="single" w:sz="4" w:space="0" w:color="auto"/>
              <w:right w:val="single" w:sz="4" w:space="0" w:color="auto"/>
            </w:tcBorders>
            <w:vAlign w:val="center"/>
          </w:tcPr>
          <w:p w14:paraId="40918EBB" w14:textId="77777777" w:rsidR="00FF6DE8" w:rsidRPr="00F56197" w:rsidRDefault="00FF6DE8" w:rsidP="00CB6B30">
            <w:pPr>
              <w:rPr>
                <w:rFonts w:ascii="Calibri" w:hAnsi="Calibri" w:cs="Calibri"/>
                <w:szCs w:val="22"/>
              </w:rPr>
            </w:pPr>
          </w:p>
        </w:tc>
        <w:tc>
          <w:tcPr>
            <w:tcW w:w="3370" w:type="dxa"/>
            <w:tcBorders>
              <w:top w:val="nil"/>
              <w:left w:val="nil"/>
              <w:bottom w:val="single" w:sz="4" w:space="0" w:color="auto"/>
              <w:right w:val="single" w:sz="4" w:space="0" w:color="auto"/>
            </w:tcBorders>
            <w:shd w:val="clear" w:color="auto" w:fill="auto"/>
            <w:vAlign w:val="center"/>
          </w:tcPr>
          <w:p w14:paraId="2B1D6A3C" w14:textId="1E575FCB" w:rsidR="00FF6DE8" w:rsidRPr="00F56197" w:rsidRDefault="00FF6DE8" w:rsidP="00CB6B30">
            <w:pPr>
              <w:jc w:val="center"/>
              <w:rPr>
                <w:rFonts w:ascii="Calibri" w:hAnsi="Calibri" w:cs="Calibri"/>
                <w:szCs w:val="22"/>
              </w:rPr>
            </w:pPr>
            <w:r w:rsidRPr="00F56197">
              <w:rPr>
                <w:rFonts w:ascii="Calibri" w:hAnsi="Calibri" w:cs="Calibri"/>
                <w:szCs w:val="22"/>
              </w:rPr>
              <w:t>Evaluate potential for colonization from AIS (mussels)</w:t>
            </w:r>
          </w:p>
        </w:tc>
      </w:tr>
      <w:tr w:rsidR="00FF6DE8" w:rsidRPr="00CB6B30" w14:paraId="24F1A026" w14:textId="77777777" w:rsidTr="007B0E0D">
        <w:trPr>
          <w:trHeight w:val="600"/>
        </w:trPr>
        <w:tc>
          <w:tcPr>
            <w:tcW w:w="2800" w:type="dxa"/>
            <w:tcBorders>
              <w:top w:val="nil"/>
              <w:left w:val="single" w:sz="4" w:space="0" w:color="auto"/>
              <w:bottom w:val="single" w:sz="4" w:space="0" w:color="auto"/>
              <w:right w:val="single" w:sz="4" w:space="0" w:color="auto"/>
            </w:tcBorders>
            <w:shd w:val="clear" w:color="auto" w:fill="auto"/>
            <w:noWrap/>
            <w:vAlign w:val="center"/>
          </w:tcPr>
          <w:p w14:paraId="4B9B692C" w14:textId="1F170148" w:rsidR="00FF6DE8" w:rsidRPr="00F56197" w:rsidRDefault="00FF6DE8" w:rsidP="00CB6B30">
            <w:pPr>
              <w:rPr>
                <w:rFonts w:ascii="Calibri" w:hAnsi="Calibri" w:cs="Calibri"/>
                <w:szCs w:val="22"/>
              </w:rPr>
            </w:pPr>
            <w:r w:rsidRPr="00F56197">
              <w:rPr>
                <w:rFonts w:ascii="Calibri" w:hAnsi="Calibri" w:cs="Calibri"/>
                <w:szCs w:val="22"/>
              </w:rPr>
              <w:t>Chlorophyll-a (in water and benthic substrate)</w:t>
            </w:r>
          </w:p>
        </w:tc>
        <w:tc>
          <w:tcPr>
            <w:tcW w:w="3460" w:type="dxa"/>
            <w:vMerge/>
            <w:tcBorders>
              <w:left w:val="single" w:sz="4" w:space="0" w:color="auto"/>
              <w:bottom w:val="single" w:sz="4" w:space="0" w:color="auto"/>
              <w:right w:val="single" w:sz="4" w:space="0" w:color="auto"/>
            </w:tcBorders>
            <w:vAlign w:val="center"/>
          </w:tcPr>
          <w:p w14:paraId="241E8F8F" w14:textId="77777777" w:rsidR="00FF6DE8" w:rsidRPr="00F56197" w:rsidRDefault="00FF6DE8" w:rsidP="00CB6B30">
            <w:pPr>
              <w:rPr>
                <w:rFonts w:ascii="Calibri" w:hAnsi="Calibri" w:cs="Calibri"/>
                <w:szCs w:val="22"/>
              </w:rPr>
            </w:pPr>
          </w:p>
        </w:tc>
        <w:tc>
          <w:tcPr>
            <w:tcW w:w="3370" w:type="dxa"/>
            <w:tcBorders>
              <w:top w:val="nil"/>
              <w:left w:val="nil"/>
              <w:bottom w:val="single" w:sz="4" w:space="0" w:color="auto"/>
              <w:right w:val="single" w:sz="4" w:space="0" w:color="auto"/>
            </w:tcBorders>
            <w:shd w:val="clear" w:color="auto" w:fill="auto"/>
            <w:vAlign w:val="center"/>
          </w:tcPr>
          <w:p w14:paraId="43761ADE" w14:textId="3FD379CC" w:rsidR="00FF6DE8" w:rsidRPr="00F56197" w:rsidRDefault="00FF6DE8" w:rsidP="00CB6B30">
            <w:pPr>
              <w:jc w:val="center"/>
              <w:rPr>
                <w:rFonts w:ascii="Calibri" w:hAnsi="Calibri" w:cs="Calibri"/>
                <w:szCs w:val="22"/>
              </w:rPr>
            </w:pPr>
            <w:r w:rsidRPr="00F56197">
              <w:rPr>
                <w:rFonts w:ascii="Calibri" w:hAnsi="Calibri" w:cs="Calibri"/>
                <w:szCs w:val="22"/>
              </w:rPr>
              <w:t>Evaluate algae growth in water column and natural substrate</w:t>
            </w:r>
          </w:p>
        </w:tc>
      </w:tr>
      <w:tr w:rsidR="00FF6DE8" w:rsidRPr="00CB6B30" w14:paraId="6CD5243E" w14:textId="77777777" w:rsidTr="007B0E0D">
        <w:trPr>
          <w:trHeight w:val="600"/>
        </w:trPr>
        <w:tc>
          <w:tcPr>
            <w:tcW w:w="2800" w:type="dxa"/>
            <w:tcBorders>
              <w:top w:val="nil"/>
              <w:left w:val="single" w:sz="4" w:space="0" w:color="auto"/>
              <w:bottom w:val="single" w:sz="4" w:space="0" w:color="auto"/>
              <w:right w:val="single" w:sz="4" w:space="0" w:color="auto"/>
            </w:tcBorders>
            <w:shd w:val="clear" w:color="auto" w:fill="auto"/>
            <w:noWrap/>
            <w:vAlign w:val="center"/>
          </w:tcPr>
          <w:p w14:paraId="30466D4E" w14:textId="5D67E54C" w:rsidR="00FF6DE8" w:rsidRPr="00F56197" w:rsidRDefault="00FF6DE8" w:rsidP="00CB6B30">
            <w:pPr>
              <w:rPr>
                <w:rFonts w:ascii="Calibri" w:hAnsi="Calibri" w:cs="Calibri"/>
                <w:szCs w:val="22"/>
              </w:rPr>
            </w:pPr>
            <w:r w:rsidRPr="00F56197">
              <w:rPr>
                <w:rFonts w:ascii="Calibri" w:hAnsi="Calibri" w:cs="Calibri"/>
                <w:szCs w:val="22"/>
              </w:rPr>
              <w:t>E. Coli</w:t>
            </w:r>
          </w:p>
        </w:tc>
        <w:tc>
          <w:tcPr>
            <w:tcW w:w="3460" w:type="dxa"/>
            <w:vMerge/>
            <w:tcBorders>
              <w:left w:val="single" w:sz="4" w:space="0" w:color="auto"/>
              <w:bottom w:val="single" w:sz="4" w:space="0" w:color="auto"/>
              <w:right w:val="single" w:sz="4" w:space="0" w:color="auto"/>
            </w:tcBorders>
            <w:vAlign w:val="center"/>
          </w:tcPr>
          <w:p w14:paraId="18DC16D1" w14:textId="77777777" w:rsidR="00FF6DE8" w:rsidRPr="00F56197" w:rsidRDefault="00FF6DE8" w:rsidP="00CB6B30">
            <w:pPr>
              <w:rPr>
                <w:rFonts w:ascii="Calibri" w:hAnsi="Calibri" w:cs="Calibri"/>
                <w:szCs w:val="22"/>
              </w:rPr>
            </w:pPr>
          </w:p>
        </w:tc>
        <w:tc>
          <w:tcPr>
            <w:tcW w:w="3370" w:type="dxa"/>
            <w:tcBorders>
              <w:top w:val="nil"/>
              <w:left w:val="nil"/>
              <w:bottom w:val="single" w:sz="4" w:space="0" w:color="auto"/>
              <w:right w:val="single" w:sz="4" w:space="0" w:color="auto"/>
            </w:tcBorders>
            <w:shd w:val="clear" w:color="auto" w:fill="auto"/>
            <w:vAlign w:val="center"/>
          </w:tcPr>
          <w:p w14:paraId="4E63FC5C" w14:textId="2ABA7CE5" w:rsidR="00FF6DE8" w:rsidRPr="00F56197" w:rsidRDefault="00FF6DE8" w:rsidP="00CB6B30">
            <w:pPr>
              <w:jc w:val="center"/>
              <w:rPr>
                <w:rFonts w:ascii="Calibri" w:hAnsi="Calibri" w:cs="Calibri"/>
                <w:szCs w:val="22"/>
              </w:rPr>
            </w:pPr>
            <w:r w:rsidRPr="00F56197">
              <w:rPr>
                <w:rFonts w:ascii="Calibri" w:hAnsi="Calibri" w:cs="Calibri"/>
                <w:szCs w:val="22"/>
              </w:rPr>
              <w:t>Evaluate potential septic leaching in developed areas</w:t>
            </w:r>
          </w:p>
        </w:tc>
      </w:tr>
      <w:tr w:rsidR="00CB6B30" w:rsidRPr="00CB6B30" w14:paraId="5A896117" w14:textId="77777777" w:rsidTr="00CB6B30">
        <w:trPr>
          <w:trHeight w:val="292"/>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0ACD9685" w14:textId="77777777" w:rsidR="00CB6B30" w:rsidRPr="00F56197" w:rsidRDefault="00CB6B30" w:rsidP="00CB6B30">
            <w:pPr>
              <w:rPr>
                <w:rFonts w:ascii="Calibri" w:hAnsi="Calibri" w:cs="Calibri"/>
                <w:szCs w:val="22"/>
              </w:rPr>
            </w:pPr>
            <w:r w:rsidRPr="00F56197">
              <w:rPr>
                <w:rFonts w:ascii="Calibri" w:hAnsi="Calibri" w:cs="Calibri"/>
                <w:szCs w:val="22"/>
              </w:rPr>
              <w:t>pH</w:t>
            </w:r>
          </w:p>
        </w:tc>
        <w:tc>
          <w:tcPr>
            <w:tcW w:w="3460" w:type="dxa"/>
            <w:vMerge w:val="restart"/>
            <w:tcBorders>
              <w:top w:val="nil"/>
              <w:left w:val="single" w:sz="4" w:space="0" w:color="auto"/>
              <w:bottom w:val="single" w:sz="4" w:space="0" w:color="auto"/>
              <w:right w:val="single" w:sz="4" w:space="0" w:color="auto"/>
            </w:tcBorders>
            <w:shd w:val="clear" w:color="auto" w:fill="auto"/>
            <w:vAlign w:val="center"/>
            <w:hideMark/>
          </w:tcPr>
          <w:p w14:paraId="0C1421F8" w14:textId="77777777" w:rsidR="00CB6B30" w:rsidRPr="00F56197" w:rsidRDefault="00CB6B30" w:rsidP="00CB6B30">
            <w:pPr>
              <w:jc w:val="center"/>
              <w:rPr>
                <w:rFonts w:ascii="Calibri" w:hAnsi="Calibri" w:cs="Calibri"/>
                <w:szCs w:val="22"/>
              </w:rPr>
            </w:pPr>
            <w:r w:rsidRPr="00F56197">
              <w:rPr>
                <w:rFonts w:ascii="Calibri" w:hAnsi="Calibri" w:cs="Calibri"/>
                <w:szCs w:val="22"/>
              </w:rPr>
              <w:t xml:space="preserve">Parameters measured </w:t>
            </w:r>
            <w:r w:rsidRPr="00F56197">
              <w:rPr>
                <w:rFonts w:ascii="Calibri" w:hAnsi="Calibri" w:cs="Calibri"/>
                <w:i/>
                <w:iCs/>
                <w:szCs w:val="22"/>
              </w:rPr>
              <w:t>in situ</w:t>
            </w:r>
            <w:r w:rsidRPr="00F56197">
              <w:rPr>
                <w:rFonts w:ascii="Calibri" w:hAnsi="Calibri" w:cs="Calibri"/>
                <w:szCs w:val="22"/>
              </w:rPr>
              <w:t xml:space="preserve"> with YSI field meter</w:t>
            </w:r>
          </w:p>
        </w:tc>
        <w:tc>
          <w:tcPr>
            <w:tcW w:w="3370" w:type="dxa"/>
            <w:vMerge w:val="restart"/>
            <w:tcBorders>
              <w:top w:val="nil"/>
              <w:left w:val="single" w:sz="4" w:space="0" w:color="auto"/>
              <w:bottom w:val="single" w:sz="4" w:space="0" w:color="auto"/>
              <w:right w:val="single" w:sz="4" w:space="0" w:color="auto"/>
            </w:tcBorders>
            <w:shd w:val="clear" w:color="auto" w:fill="auto"/>
            <w:vAlign w:val="center"/>
            <w:hideMark/>
          </w:tcPr>
          <w:p w14:paraId="7B67DCAA" w14:textId="77777777" w:rsidR="00CB6B30" w:rsidRPr="00F56197" w:rsidRDefault="00CB6B30" w:rsidP="00CB6B30">
            <w:pPr>
              <w:jc w:val="center"/>
              <w:rPr>
                <w:rFonts w:ascii="Calibri" w:hAnsi="Calibri" w:cs="Calibri"/>
                <w:szCs w:val="22"/>
              </w:rPr>
            </w:pPr>
            <w:r w:rsidRPr="00F56197">
              <w:rPr>
                <w:rFonts w:ascii="Calibri" w:hAnsi="Calibri" w:cs="Calibri"/>
                <w:szCs w:val="22"/>
              </w:rPr>
              <w:t>Common descriptive water quality parameter</w:t>
            </w:r>
          </w:p>
        </w:tc>
      </w:tr>
      <w:tr w:rsidR="00CB6B30" w:rsidRPr="00CB6B30" w14:paraId="740877F4" w14:textId="77777777" w:rsidTr="00CB6B30">
        <w:trPr>
          <w:trHeight w:val="30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635E8898" w14:textId="77777777" w:rsidR="00CB6B30" w:rsidRPr="00F56197" w:rsidRDefault="00CB6B30" w:rsidP="00CB6B30">
            <w:pPr>
              <w:rPr>
                <w:rFonts w:ascii="Calibri" w:hAnsi="Calibri" w:cs="Calibri"/>
                <w:szCs w:val="22"/>
              </w:rPr>
            </w:pPr>
            <w:r w:rsidRPr="00F56197">
              <w:rPr>
                <w:rFonts w:ascii="Calibri" w:hAnsi="Calibri" w:cs="Calibri"/>
                <w:szCs w:val="22"/>
              </w:rPr>
              <w:t>Water temperature</w:t>
            </w:r>
          </w:p>
        </w:tc>
        <w:tc>
          <w:tcPr>
            <w:tcW w:w="3460" w:type="dxa"/>
            <w:vMerge/>
            <w:tcBorders>
              <w:top w:val="nil"/>
              <w:left w:val="single" w:sz="4" w:space="0" w:color="auto"/>
              <w:bottom w:val="single" w:sz="4" w:space="0" w:color="auto"/>
              <w:right w:val="single" w:sz="4" w:space="0" w:color="auto"/>
            </w:tcBorders>
            <w:vAlign w:val="center"/>
            <w:hideMark/>
          </w:tcPr>
          <w:p w14:paraId="3CAB15DF" w14:textId="77777777" w:rsidR="00CB6B30" w:rsidRPr="00F56197" w:rsidRDefault="00CB6B30" w:rsidP="00CB6B30">
            <w:pPr>
              <w:rPr>
                <w:rFonts w:ascii="Calibri" w:hAnsi="Calibri" w:cs="Calibri"/>
                <w:szCs w:val="22"/>
              </w:rPr>
            </w:pPr>
          </w:p>
        </w:tc>
        <w:tc>
          <w:tcPr>
            <w:tcW w:w="3370" w:type="dxa"/>
            <w:vMerge/>
            <w:tcBorders>
              <w:top w:val="nil"/>
              <w:left w:val="single" w:sz="4" w:space="0" w:color="auto"/>
              <w:bottom w:val="single" w:sz="4" w:space="0" w:color="auto"/>
              <w:right w:val="single" w:sz="4" w:space="0" w:color="auto"/>
            </w:tcBorders>
            <w:vAlign w:val="center"/>
            <w:hideMark/>
          </w:tcPr>
          <w:p w14:paraId="0A72E003" w14:textId="77777777" w:rsidR="00CB6B30" w:rsidRPr="00F56197" w:rsidRDefault="00CB6B30" w:rsidP="00CB6B30">
            <w:pPr>
              <w:rPr>
                <w:rFonts w:ascii="Calibri" w:hAnsi="Calibri" w:cs="Calibri"/>
                <w:szCs w:val="22"/>
              </w:rPr>
            </w:pPr>
          </w:p>
        </w:tc>
      </w:tr>
      <w:tr w:rsidR="00CB6B30" w:rsidRPr="00CB6B30" w14:paraId="5DD0DF29" w14:textId="77777777" w:rsidTr="00CB6B30">
        <w:trPr>
          <w:trHeight w:val="30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03EEB392" w14:textId="77777777" w:rsidR="00CB6B30" w:rsidRPr="00F56197" w:rsidRDefault="00CB6B30" w:rsidP="00CB6B30">
            <w:pPr>
              <w:rPr>
                <w:rFonts w:ascii="Calibri" w:hAnsi="Calibri" w:cs="Calibri"/>
                <w:szCs w:val="22"/>
              </w:rPr>
            </w:pPr>
            <w:r w:rsidRPr="00F56197">
              <w:rPr>
                <w:rFonts w:ascii="Calibri" w:hAnsi="Calibri" w:cs="Calibri"/>
                <w:szCs w:val="22"/>
              </w:rPr>
              <w:t>Specific conductance (SC)</w:t>
            </w:r>
          </w:p>
        </w:tc>
        <w:tc>
          <w:tcPr>
            <w:tcW w:w="3460" w:type="dxa"/>
            <w:vMerge/>
            <w:tcBorders>
              <w:top w:val="nil"/>
              <w:left w:val="single" w:sz="4" w:space="0" w:color="auto"/>
              <w:bottom w:val="single" w:sz="4" w:space="0" w:color="auto"/>
              <w:right w:val="single" w:sz="4" w:space="0" w:color="auto"/>
            </w:tcBorders>
            <w:vAlign w:val="center"/>
            <w:hideMark/>
          </w:tcPr>
          <w:p w14:paraId="776B991D" w14:textId="77777777" w:rsidR="00CB6B30" w:rsidRPr="00F56197" w:rsidRDefault="00CB6B30" w:rsidP="00CB6B30">
            <w:pPr>
              <w:rPr>
                <w:rFonts w:ascii="Calibri" w:hAnsi="Calibri" w:cs="Calibri"/>
                <w:szCs w:val="22"/>
              </w:rPr>
            </w:pPr>
          </w:p>
        </w:tc>
        <w:tc>
          <w:tcPr>
            <w:tcW w:w="3370" w:type="dxa"/>
            <w:vMerge/>
            <w:tcBorders>
              <w:top w:val="nil"/>
              <w:left w:val="single" w:sz="4" w:space="0" w:color="auto"/>
              <w:bottom w:val="single" w:sz="4" w:space="0" w:color="auto"/>
              <w:right w:val="single" w:sz="4" w:space="0" w:color="auto"/>
            </w:tcBorders>
            <w:vAlign w:val="center"/>
            <w:hideMark/>
          </w:tcPr>
          <w:p w14:paraId="75DDECC3" w14:textId="77777777" w:rsidR="00CB6B30" w:rsidRPr="00F56197" w:rsidRDefault="00CB6B30" w:rsidP="00CB6B30">
            <w:pPr>
              <w:rPr>
                <w:rFonts w:ascii="Calibri" w:hAnsi="Calibri" w:cs="Calibri"/>
                <w:szCs w:val="22"/>
              </w:rPr>
            </w:pPr>
          </w:p>
        </w:tc>
      </w:tr>
      <w:tr w:rsidR="00CB6B30" w:rsidRPr="00CB6B30" w14:paraId="6D3A7222" w14:textId="77777777" w:rsidTr="00CB6B30">
        <w:trPr>
          <w:trHeight w:val="30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310E1E82" w14:textId="77777777" w:rsidR="00CB6B30" w:rsidRPr="00F56197" w:rsidRDefault="00CB6B30" w:rsidP="00CB6B30">
            <w:pPr>
              <w:rPr>
                <w:rFonts w:ascii="Calibri" w:hAnsi="Calibri" w:cs="Calibri"/>
                <w:szCs w:val="22"/>
              </w:rPr>
            </w:pPr>
            <w:r w:rsidRPr="00F56197">
              <w:rPr>
                <w:rFonts w:ascii="Calibri" w:hAnsi="Calibri" w:cs="Calibri"/>
                <w:szCs w:val="22"/>
              </w:rPr>
              <w:t>Dissolved oxygen (DO)</w:t>
            </w:r>
          </w:p>
        </w:tc>
        <w:tc>
          <w:tcPr>
            <w:tcW w:w="3460" w:type="dxa"/>
            <w:vMerge/>
            <w:tcBorders>
              <w:top w:val="nil"/>
              <w:left w:val="single" w:sz="4" w:space="0" w:color="auto"/>
              <w:bottom w:val="single" w:sz="4" w:space="0" w:color="auto"/>
              <w:right w:val="single" w:sz="4" w:space="0" w:color="auto"/>
            </w:tcBorders>
            <w:vAlign w:val="center"/>
            <w:hideMark/>
          </w:tcPr>
          <w:p w14:paraId="05B52950" w14:textId="77777777" w:rsidR="00CB6B30" w:rsidRPr="00F56197" w:rsidRDefault="00CB6B30" w:rsidP="00CB6B30">
            <w:pPr>
              <w:rPr>
                <w:rFonts w:ascii="Calibri" w:hAnsi="Calibri" w:cs="Calibri"/>
                <w:szCs w:val="22"/>
              </w:rPr>
            </w:pPr>
          </w:p>
        </w:tc>
        <w:tc>
          <w:tcPr>
            <w:tcW w:w="3370" w:type="dxa"/>
            <w:vMerge/>
            <w:tcBorders>
              <w:top w:val="nil"/>
              <w:left w:val="single" w:sz="4" w:space="0" w:color="auto"/>
              <w:bottom w:val="single" w:sz="4" w:space="0" w:color="auto"/>
              <w:right w:val="single" w:sz="4" w:space="0" w:color="auto"/>
            </w:tcBorders>
            <w:vAlign w:val="center"/>
            <w:hideMark/>
          </w:tcPr>
          <w:p w14:paraId="11FE8B80" w14:textId="77777777" w:rsidR="00CB6B30" w:rsidRPr="00F56197" w:rsidRDefault="00CB6B30" w:rsidP="00CB6B30">
            <w:pPr>
              <w:rPr>
                <w:rFonts w:ascii="Calibri" w:hAnsi="Calibri" w:cs="Calibri"/>
                <w:szCs w:val="22"/>
              </w:rPr>
            </w:pPr>
          </w:p>
        </w:tc>
      </w:tr>
      <w:tr w:rsidR="00CB6B30" w:rsidRPr="00CB6B30" w14:paraId="326C0210" w14:textId="77777777" w:rsidTr="00CB6B30">
        <w:trPr>
          <w:trHeight w:val="526"/>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76396AE0" w14:textId="77777777" w:rsidR="00CB6B30" w:rsidRPr="00F56197" w:rsidRDefault="00CB6B30" w:rsidP="00CB6B30">
            <w:pPr>
              <w:rPr>
                <w:rFonts w:ascii="Calibri" w:hAnsi="Calibri" w:cs="Calibri"/>
                <w:szCs w:val="22"/>
              </w:rPr>
            </w:pPr>
            <w:r w:rsidRPr="00F56197">
              <w:rPr>
                <w:rFonts w:ascii="Calibri" w:hAnsi="Calibri" w:cs="Calibri"/>
                <w:szCs w:val="22"/>
              </w:rPr>
              <w:t>Discharge (flow)</w:t>
            </w:r>
          </w:p>
        </w:tc>
        <w:tc>
          <w:tcPr>
            <w:tcW w:w="3460" w:type="dxa"/>
            <w:tcBorders>
              <w:top w:val="nil"/>
              <w:left w:val="nil"/>
              <w:bottom w:val="single" w:sz="4" w:space="0" w:color="auto"/>
              <w:right w:val="single" w:sz="4" w:space="0" w:color="auto"/>
            </w:tcBorders>
            <w:shd w:val="clear" w:color="auto" w:fill="auto"/>
            <w:vAlign w:val="center"/>
            <w:hideMark/>
          </w:tcPr>
          <w:p w14:paraId="13C5FC34" w14:textId="6CC34968" w:rsidR="00CB6B30" w:rsidRPr="00F56197" w:rsidRDefault="00CB6B30" w:rsidP="00CB6B30">
            <w:pPr>
              <w:jc w:val="center"/>
              <w:rPr>
                <w:rFonts w:ascii="Calibri" w:hAnsi="Calibri" w:cs="Calibri"/>
                <w:szCs w:val="22"/>
              </w:rPr>
            </w:pPr>
            <w:r w:rsidRPr="00F56197">
              <w:rPr>
                <w:rFonts w:ascii="Calibri" w:hAnsi="Calibri" w:cs="Calibri"/>
                <w:szCs w:val="22"/>
              </w:rPr>
              <w:t xml:space="preserve">Measured with </w:t>
            </w:r>
            <w:r w:rsidR="00FF6DE8" w:rsidRPr="00F56197">
              <w:rPr>
                <w:rFonts w:ascii="Calibri" w:hAnsi="Calibri" w:cs="Calibri"/>
                <w:szCs w:val="22"/>
              </w:rPr>
              <w:t xml:space="preserve">Marsh </w:t>
            </w:r>
            <w:proofErr w:type="spellStart"/>
            <w:r w:rsidR="00FF6DE8" w:rsidRPr="00F56197">
              <w:rPr>
                <w:rFonts w:ascii="Calibri" w:hAnsi="Calibri" w:cs="Calibri"/>
                <w:szCs w:val="22"/>
              </w:rPr>
              <w:t>McBirney</w:t>
            </w:r>
            <w:proofErr w:type="spellEnd"/>
            <w:r w:rsidRPr="00F56197">
              <w:rPr>
                <w:rFonts w:ascii="Calibri" w:hAnsi="Calibri" w:cs="Calibri"/>
                <w:szCs w:val="22"/>
              </w:rPr>
              <w:t xml:space="preserve"> flow meter.</w:t>
            </w:r>
          </w:p>
        </w:tc>
        <w:tc>
          <w:tcPr>
            <w:tcW w:w="3370" w:type="dxa"/>
            <w:tcBorders>
              <w:top w:val="nil"/>
              <w:left w:val="nil"/>
              <w:bottom w:val="single" w:sz="4" w:space="0" w:color="auto"/>
              <w:right w:val="single" w:sz="4" w:space="0" w:color="auto"/>
            </w:tcBorders>
            <w:shd w:val="clear" w:color="auto" w:fill="auto"/>
            <w:vAlign w:val="center"/>
            <w:hideMark/>
          </w:tcPr>
          <w:p w14:paraId="2D690EDD" w14:textId="2C7D7AAD" w:rsidR="00CB6B30" w:rsidRPr="00F56197" w:rsidRDefault="00CB6B30" w:rsidP="00CB6B30">
            <w:pPr>
              <w:rPr>
                <w:rFonts w:ascii="Calibri" w:hAnsi="Calibri" w:cs="Calibri"/>
                <w:szCs w:val="22"/>
              </w:rPr>
            </w:pPr>
            <w:r w:rsidRPr="00F56197">
              <w:rPr>
                <w:rFonts w:ascii="Calibri" w:hAnsi="Calibri" w:cs="Calibri"/>
                <w:szCs w:val="22"/>
              </w:rPr>
              <w:t xml:space="preserve">Necessary </w:t>
            </w:r>
            <w:r w:rsidR="00FF6DE8" w:rsidRPr="00F56197">
              <w:rPr>
                <w:rFonts w:ascii="Calibri" w:hAnsi="Calibri" w:cs="Calibri"/>
                <w:szCs w:val="22"/>
              </w:rPr>
              <w:t>for load</w:t>
            </w:r>
            <w:r w:rsidRPr="00F56197">
              <w:rPr>
                <w:rFonts w:ascii="Calibri" w:hAnsi="Calibri" w:cs="Calibri"/>
                <w:szCs w:val="22"/>
              </w:rPr>
              <w:t xml:space="preserve"> calcula</w:t>
            </w:r>
            <w:r w:rsidR="00FF6DE8" w:rsidRPr="00F56197">
              <w:rPr>
                <w:rFonts w:ascii="Calibri" w:hAnsi="Calibri" w:cs="Calibri"/>
                <w:szCs w:val="22"/>
              </w:rPr>
              <w:t>tions, evaluate against previous data</w:t>
            </w:r>
            <w:r w:rsidRPr="00F56197">
              <w:rPr>
                <w:rFonts w:ascii="Calibri" w:hAnsi="Calibri" w:cs="Calibri"/>
                <w:szCs w:val="22"/>
              </w:rPr>
              <w:t xml:space="preserve">. </w:t>
            </w:r>
          </w:p>
        </w:tc>
      </w:tr>
      <w:tr w:rsidR="00371203" w:rsidRPr="00CB6B30" w14:paraId="145DBB19" w14:textId="77777777" w:rsidTr="00CB6B30">
        <w:trPr>
          <w:trHeight w:val="787"/>
        </w:trPr>
        <w:tc>
          <w:tcPr>
            <w:tcW w:w="2800" w:type="dxa"/>
            <w:tcBorders>
              <w:top w:val="nil"/>
              <w:left w:val="single" w:sz="4" w:space="0" w:color="auto"/>
              <w:bottom w:val="single" w:sz="4" w:space="0" w:color="auto"/>
              <w:right w:val="single" w:sz="4" w:space="0" w:color="auto"/>
            </w:tcBorders>
            <w:shd w:val="clear" w:color="auto" w:fill="auto"/>
            <w:noWrap/>
            <w:vAlign w:val="center"/>
          </w:tcPr>
          <w:p w14:paraId="4B06D7D7" w14:textId="3CFE1C96" w:rsidR="00371203" w:rsidRPr="00F56197" w:rsidRDefault="00371203" w:rsidP="00CB6B30">
            <w:pPr>
              <w:rPr>
                <w:rFonts w:ascii="Calibri" w:hAnsi="Calibri" w:cs="Calibri"/>
                <w:szCs w:val="22"/>
              </w:rPr>
            </w:pPr>
            <w:r>
              <w:rPr>
                <w:rFonts w:ascii="Calibri" w:hAnsi="Calibri" w:cs="Calibri"/>
                <w:szCs w:val="22"/>
              </w:rPr>
              <w:t>Secchi Depth</w:t>
            </w:r>
          </w:p>
        </w:tc>
        <w:tc>
          <w:tcPr>
            <w:tcW w:w="3460" w:type="dxa"/>
            <w:tcBorders>
              <w:top w:val="nil"/>
              <w:left w:val="nil"/>
              <w:bottom w:val="single" w:sz="4" w:space="0" w:color="auto"/>
              <w:right w:val="single" w:sz="4" w:space="0" w:color="auto"/>
            </w:tcBorders>
            <w:shd w:val="clear" w:color="auto" w:fill="auto"/>
            <w:noWrap/>
            <w:vAlign w:val="center"/>
          </w:tcPr>
          <w:p w14:paraId="60932334" w14:textId="0BA412DE" w:rsidR="00371203" w:rsidRPr="00F56197" w:rsidRDefault="00371203" w:rsidP="00CB6B30">
            <w:pPr>
              <w:jc w:val="center"/>
              <w:rPr>
                <w:rFonts w:ascii="Calibri" w:hAnsi="Calibri" w:cs="Calibri"/>
                <w:szCs w:val="22"/>
              </w:rPr>
            </w:pPr>
            <w:r>
              <w:rPr>
                <w:rFonts w:ascii="Calibri" w:hAnsi="Calibri" w:cs="Calibri"/>
                <w:szCs w:val="22"/>
              </w:rPr>
              <w:t>Measured with Secchi disc</w:t>
            </w:r>
          </w:p>
        </w:tc>
        <w:tc>
          <w:tcPr>
            <w:tcW w:w="3370" w:type="dxa"/>
            <w:tcBorders>
              <w:top w:val="nil"/>
              <w:left w:val="nil"/>
              <w:bottom w:val="single" w:sz="4" w:space="0" w:color="auto"/>
              <w:right w:val="single" w:sz="4" w:space="0" w:color="auto"/>
            </w:tcBorders>
            <w:shd w:val="clear" w:color="auto" w:fill="auto"/>
            <w:vAlign w:val="center"/>
          </w:tcPr>
          <w:p w14:paraId="07BA6267" w14:textId="5F082D28" w:rsidR="00371203" w:rsidRPr="00F56197" w:rsidRDefault="00371203" w:rsidP="00CB6B30">
            <w:pPr>
              <w:rPr>
                <w:rFonts w:ascii="Calibri" w:hAnsi="Calibri" w:cs="Calibri"/>
                <w:szCs w:val="22"/>
              </w:rPr>
            </w:pPr>
            <w:r>
              <w:rPr>
                <w:rFonts w:ascii="Calibri" w:hAnsi="Calibri" w:cs="Calibri"/>
                <w:szCs w:val="22"/>
              </w:rPr>
              <w:t>Standard measure for lake clarity, low cost</w:t>
            </w:r>
          </w:p>
        </w:tc>
      </w:tr>
      <w:tr w:rsidR="00CB6B30" w:rsidRPr="00CB6B30" w14:paraId="6D13446A" w14:textId="77777777" w:rsidTr="00CB6B30">
        <w:trPr>
          <w:trHeight w:val="787"/>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7497E81E" w14:textId="77777777" w:rsidR="00CB6B30" w:rsidRPr="00F56197" w:rsidRDefault="00CB6B30" w:rsidP="00CB6B30">
            <w:pPr>
              <w:rPr>
                <w:rFonts w:ascii="Calibri" w:hAnsi="Calibri" w:cs="Calibri"/>
                <w:szCs w:val="22"/>
              </w:rPr>
            </w:pPr>
            <w:r w:rsidRPr="00F56197">
              <w:rPr>
                <w:rFonts w:ascii="Calibri" w:hAnsi="Calibri" w:cs="Calibri"/>
                <w:szCs w:val="22"/>
              </w:rPr>
              <w:t>Photos</w:t>
            </w:r>
          </w:p>
        </w:tc>
        <w:tc>
          <w:tcPr>
            <w:tcW w:w="3460" w:type="dxa"/>
            <w:tcBorders>
              <w:top w:val="nil"/>
              <w:left w:val="nil"/>
              <w:bottom w:val="single" w:sz="4" w:space="0" w:color="auto"/>
              <w:right w:val="single" w:sz="4" w:space="0" w:color="auto"/>
            </w:tcBorders>
            <w:shd w:val="clear" w:color="auto" w:fill="auto"/>
            <w:noWrap/>
            <w:vAlign w:val="center"/>
            <w:hideMark/>
          </w:tcPr>
          <w:p w14:paraId="02B0AB9B" w14:textId="77777777" w:rsidR="00CB6B30" w:rsidRPr="00F56197" w:rsidRDefault="00CB6B30" w:rsidP="00CB6B30">
            <w:pPr>
              <w:jc w:val="center"/>
              <w:rPr>
                <w:rFonts w:ascii="Calibri" w:hAnsi="Calibri" w:cs="Calibri"/>
                <w:szCs w:val="22"/>
              </w:rPr>
            </w:pPr>
            <w:r w:rsidRPr="00F56197">
              <w:rPr>
                <w:rFonts w:ascii="Calibri" w:hAnsi="Calibri" w:cs="Calibri"/>
                <w:szCs w:val="22"/>
              </w:rPr>
              <w:t>Taken with digital camera</w:t>
            </w:r>
          </w:p>
        </w:tc>
        <w:tc>
          <w:tcPr>
            <w:tcW w:w="3370" w:type="dxa"/>
            <w:tcBorders>
              <w:top w:val="nil"/>
              <w:left w:val="nil"/>
              <w:bottom w:val="single" w:sz="4" w:space="0" w:color="auto"/>
              <w:right w:val="single" w:sz="4" w:space="0" w:color="auto"/>
            </w:tcBorders>
            <w:shd w:val="clear" w:color="auto" w:fill="auto"/>
            <w:vAlign w:val="center"/>
            <w:hideMark/>
          </w:tcPr>
          <w:p w14:paraId="4EB41194" w14:textId="1BF3E6F5" w:rsidR="00CB6B30" w:rsidRPr="00F56197" w:rsidRDefault="00CB6B30" w:rsidP="00CB6B30">
            <w:pPr>
              <w:rPr>
                <w:rFonts w:ascii="Calibri" w:hAnsi="Calibri" w:cs="Calibri"/>
                <w:szCs w:val="22"/>
              </w:rPr>
            </w:pPr>
            <w:r w:rsidRPr="00F56197">
              <w:rPr>
                <w:rFonts w:ascii="Calibri" w:hAnsi="Calibri" w:cs="Calibri"/>
                <w:szCs w:val="22"/>
              </w:rPr>
              <w:t xml:space="preserve">Tracking benthic algae and other site conditions; low-cost. </w:t>
            </w:r>
          </w:p>
        </w:tc>
      </w:tr>
    </w:tbl>
    <w:p w14:paraId="1E56AB69" w14:textId="7DFA91FD" w:rsidR="00EA12B4" w:rsidRDefault="00EA12B4" w:rsidP="00EA12B4"/>
    <w:p w14:paraId="3E4A3F0D" w14:textId="5A4DD133" w:rsidR="004F5F6C" w:rsidRDefault="004F5F6C" w:rsidP="00920FC9">
      <w:pPr>
        <w:pStyle w:val="Heading1"/>
      </w:pPr>
      <w:bookmarkStart w:id="21" w:name="_Toc109055210"/>
      <w:bookmarkEnd w:id="15"/>
      <w:r>
        <w:t xml:space="preserve">3.0 </w:t>
      </w:r>
      <w:r w:rsidR="00CB6B30">
        <w:t>Field Procedures</w:t>
      </w:r>
      <w:bookmarkEnd w:id="21"/>
    </w:p>
    <w:p w14:paraId="1FE46D48" w14:textId="45DB29B4" w:rsidR="00417337" w:rsidRDefault="00782B6E" w:rsidP="007670FB">
      <w:pPr>
        <w:pStyle w:val="Heading2"/>
      </w:pPr>
      <w:bookmarkStart w:id="22" w:name="_Toc218694542"/>
      <w:bookmarkStart w:id="23" w:name="_Toc109055211"/>
      <w:r>
        <w:t>3.</w:t>
      </w:r>
      <w:r w:rsidR="00CB6B30">
        <w:t>1</w:t>
      </w:r>
      <w:r w:rsidR="005640E4">
        <w:t xml:space="preserve"> </w:t>
      </w:r>
      <w:r w:rsidR="00CB6B30">
        <w:t>Order of Operations</w:t>
      </w:r>
      <w:bookmarkEnd w:id="22"/>
      <w:bookmarkEnd w:id="23"/>
    </w:p>
    <w:p w14:paraId="32E4D59E" w14:textId="4042E461" w:rsidR="00560F8E" w:rsidRPr="00560F8E" w:rsidRDefault="00560F8E" w:rsidP="00CB6B30">
      <w:r w:rsidRPr="00560F8E">
        <w:t xml:space="preserve">Sample collection will be performed by first calibrating field instruments (YSI water quality meter) on shore and loading appropriate supplies and collection bottles into the boat (water quality meter, Secchi disk, coolers, Van Dorn sampler, personal equipment, etc.). Lake sites will be sampled initially in a logical spatial order around the lake, including collection of field parameters, nutrient/chlorophyll-a samples, and depth profile samples from the lake center. Following lake sample collection, all samples for chlorophyll-a and dissolved constituents will be filtered and stored on ice or dry ice as required. Surface water locations, </w:t>
      </w:r>
      <w:r w:rsidRPr="00560F8E">
        <w:lastRenderedPageBreak/>
        <w:t>including the inlet and outlet stream, will then be sampled for field parameters and nutrient constituents. All filtering and preservation will take place in the field. Following sample collection, and samples will be stored on ice or dry ice as required by sampling protocol. The near-shore locations can be accessed by automobile and will be sampled during the morning of the second sample collection day. This will allow the sampler to ensure delivery of E</w:t>
      </w:r>
      <w:r>
        <w:t>.</w:t>
      </w:r>
      <w:r w:rsidRPr="00560F8E">
        <w:t xml:space="preserve"> coli samples to the analytical laboratory within the 6-hour holding time. All other samples will also be delivered to the laboratory on the second collection day. </w:t>
      </w:r>
    </w:p>
    <w:p w14:paraId="36C1E69A" w14:textId="39CEA93E" w:rsidR="00CB6B30" w:rsidRDefault="00CB6B30" w:rsidP="00CB6B30">
      <w:pPr>
        <w:pStyle w:val="Heading2"/>
      </w:pPr>
      <w:bookmarkStart w:id="24" w:name="_Toc109055212"/>
      <w:r>
        <w:t>3.2 Field Forms</w:t>
      </w:r>
      <w:bookmarkEnd w:id="24"/>
    </w:p>
    <w:p w14:paraId="0FEA1E1E" w14:textId="2541999E" w:rsidR="00CB6B30" w:rsidRPr="00A1653C" w:rsidRDefault="00560F8E" w:rsidP="00560F8E">
      <w:pPr>
        <w:pStyle w:val="BodyText"/>
        <w:spacing w:before="56"/>
        <w:ind w:left="0" w:right="266"/>
      </w:pPr>
      <w:r>
        <w:rPr>
          <w:szCs w:val="22"/>
        </w:rPr>
        <w:t xml:space="preserve">Field data will be collected in a field notebook. This includes any field measurements including field water chemistry data, weather observations, flow measurements, Secchi disk readings, and other notes relevant to the project. Laboratory sample information will be recorded on a Chain-of-Custody Form </w:t>
      </w:r>
      <w:proofErr w:type="gramStart"/>
      <w:r>
        <w:rPr>
          <w:szCs w:val="22"/>
        </w:rPr>
        <w:t>in order to</w:t>
      </w:r>
      <w:proofErr w:type="gramEnd"/>
      <w:r>
        <w:rPr>
          <w:szCs w:val="22"/>
        </w:rPr>
        <w:t xml:space="preserve"> document the collection time, analysis requested, and sample delivery time for laboratory samples. An Aquatic Plant Tracking Form and Aquatic Plant Visual Assessment Form (included in </w:t>
      </w:r>
      <w:r>
        <w:rPr>
          <w:b/>
          <w:szCs w:val="22"/>
        </w:rPr>
        <w:t>Appendix B</w:t>
      </w:r>
      <w:r>
        <w:rPr>
          <w:szCs w:val="22"/>
        </w:rPr>
        <w:t>) will be completed at benthic algae sampling locations.</w:t>
      </w:r>
      <w:r w:rsidR="00CB6B30" w:rsidRPr="00A1653C">
        <w:rPr>
          <w:rFonts w:cstheme="minorHAnsi"/>
        </w:rPr>
        <w:t xml:space="preserve"> </w:t>
      </w:r>
    </w:p>
    <w:p w14:paraId="55CC9B6E" w14:textId="46943CD5" w:rsidR="00CB6B30" w:rsidRPr="00CB6B30" w:rsidRDefault="00CB6B30" w:rsidP="00CB6B30">
      <w:pPr>
        <w:pStyle w:val="Heading2"/>
      </w:pPr>
      <w:bookmarkStart w:id="25" w:name="_Toc109055213"/>
      <w:r>
        <w:t>3.3 Data Collection Standard Operating Procedures</w:t>
      </w:r>
      <w:bookmarkEnd w:id="25"/>
    </w:p>
    <w:p w14:paraId="4C25065F" w14:textId="23DB1E8E" w:rsidR="00560F8E" w:rsidRDefault="00560F8E" w:rsidP="00560F8E">
      <w:pPr>
        <w:pStyle w:val="BodyText"/>
        <w:spacing w:after="0"/>
        <w:ind w:left="0"/>
        <w:rPr>
          <w:szCs w:val="22"/>
        </w:rPr>
      </w:pPr>
      <w:r>
        <w:rPr>
          <w:szCs w:val="22"/>
        </w:rPr>
        <w:t xml:space="preserve">Monitoring will be done in accordance with DEQ’s </w:t>
      </w:r>
      <w:r w:rsidR="007A43B8">
        <w:rPr>
          <w:szCs w:val="22"/>
        </w:rPr>
        <w:t>Sample Collection for Chemistry Analysis: Water, Sediment, and Biological Tissue Standard Operating Procedure (SOP)</w:t>
      </w:r>
      <w:r>
        <w:rPr>
          <w:szCs w:val="22"/>
        </w:rPr>
        <w:t xml:space="preserve"> available on DEQ’s </w:t>
      </w:r>
      <w:r w:rsidR="00920FC9">
        <w:rPr>
          <w:szCs w:val="22"/>
        </w:rPr>
        <w:t xml:space="preserve">Lakes, Streams and </w:t>
      </w:r>
      <w:proofErr w:type="gramStart"/>
      <w:r w:rsidR="00920FC9">
        <w:rPr>
          <w:szCs w:val="22"/>
        </w:rPr>
        <w:t xml:space="preserve">Wetlands </w:t>
      </w:r>
      <w:r>
        <w:rPr>
          <w:szCs w:val="22"/>
        </w:rPr>
        <w:t xml:space="preserve"> website</w:t>
      </w:r>
      <w:proofErr w:type="gramEnd"/>
      <w:r>
        <w:rPr>
          <w:szCs w:val="22"/>
        </w:rPr>
        <w:t xml:space="preserve"> at: </w:t>
      </w:r>
      <w:r w:rsidR="00920FC9" w:rsidRPr="00920FC9">
        <w:t>https://deq.mt.gov/water/Programs/sw</w:t>
      </w:r>
      <w:r w:rsidR="00371203" w:rsidRPr="00E45B61">
        <w:rPr>
          <w:rStyle w:val="Hyperlink"/>
          <w:szCs w:val="22"/>
          <w:u w:val="none"/>
        </w:rPr>
        <w:t xml:space="preserve"> </w:t>
      </w:r>
      <w:r>
        <w:rPr>
          <w:szCs w:val="22"/>
        </w:rPr>
        <w:t>(</w:t>
      </w:r>
      <w:r w:rsidR="00597DE1">
        <w:rPr>
          <w:szCs w:val="22"/>
        </w:rPr>
        <w:t>Makarowski</w:t>
      </w:r>
      <w:r>
        <w:rPr>
          <w:szCs w:val="22"/>
        </w:rPr>
        <w:t>, 20</w:t>
      </w:r>
      <w:r w:rsidR="00597DE1">
        <w:rPr>
          <w:szCs w:val="22"/>
        </w:rPr>
        <w:t>19</w:t>
      </w:r>
      <w:r>
        <w:rPr>
          <w:szCs w:val="22"/>
        </w:rPr>
        <w:t>).</w:t>
      </w:r>
    </w:p>
    <w:p w14:paraId="43724360" w14:textId="77777777" w:rsidR="00560F8E" w:rsidRDefault="00560F8E" w:rsidP="00560F8E">
      <w:pPr>
        <w:pStyle w:val="BodyText"/>
        <w:spacing w:after="0"/>
        <w:ind w:left="0"/>
        <w:rPr>
          <w:szCs w:val="22"/>
        </w:rPr>
      </w:pPr>
    </w:p>
    <w:p w14:paraId="118FA40D" w14:textId="77777777" w:rsidR="00560F8E" w:rsidRDefault="00560F8E" w:rsidP="00560F8E">
      <w:pPr>
        <w:pStyle w:val="Heading3"/>
        <w:spacing w:before="0" w:after="0"/>
      </w:pPr>
      <w:bookmarkStart w:id="26" w:name="_bookmark10"/>
      <w:bookmarkStart w:id="27" w:name="_Toc512264069"/>
      <w:bookmarkStart w:id="28" w:name="_Toc14955988"/>
      <w:bookmarkStart w:id="29" w:name="_Toc109055214"/>
      <w:bookmarkEnd w:id="26"/>
      <w:r>
        <w:t>Field Parameters</w:t>
      </w:r>
      <w:bookmarkEnd w:id="27"/>
      <w:bookmarkEnd w:id="28"/>
      <w:bookmarkEnd w:id="29"/>
    </w:p>
    <w:p w14:paraId="4E9548F5" w14:textId="3DF0B52A" w:rsidR="00560F8E" w:rsidRDefault="00560F8E" w:rsidP="00560F8E">
      <w:pPr>
        <w:pStyle w:val="BodyText"/>
        <w:spacing w:after="0"/>
        <w:ind w:left="0"/>
        <w:rPr>
          <w:szCs w:val="22"/>
        </w:rPr>
      </w:pPr>
      <w:r>
        <w:rPr>
          <w:szCs w:val="22"/>
        </w:rPr>
        <w:t xml:space="preserve">Water quality field parameters will be measured using a YSI hand-held field meter in accordance with Section </w:t>
      </w:r>
      <w:r w:rsidR="007A43B8">
        <w:rPr>
          <w:szCs w:val="22"/>
        </w:rPr>
        <w:t>10.0</w:t>
      </w:r>
      <w:r>
        <w:rPr>
          <w:szCs w:val="22"/>
        </w:rPr>
        <w:t xml:space="preserve"> of DEQ’s </w:t>
      </w:r>
      <w:r w:rsidR="007A43B8">
        <w:rPr>
          <w:szCs w:val="22"/>
        </w:rPr>
        <w:t>Instantaneous Water Quality Field Meter SOP</w:t>
      </w:r>
      <w:r>
        <w:rPr>
          <w:szCs w:val="22"/>
        </w:rPr>
        <w:t xml:space="preserve"> (</w:t>
      </w:r>
      <w:r w:rsidR="007A43B8">
        <w:rPr>
          <w:szCs w:val="22"/>
        </w:rPr>
        <w:t>McWilliams</w:t>
      </w:r>
      <w:r>
        <w:rPr>
          <w:szCs w:val="22"/>
        </w:rPr>
        <w:t>, 20</w:t>
      </w:r>
      <w:r w:rsidR="007A43B8">
        <w:rPr>
          <w:szCs w:val="22"/>
        </w:rPr>
        <w:t>20</w:t>
      </w:r>
      <w:r>
        <w:rPr>
          <w:szCs w:val="22"/>
        </w:rPr>
        <w:t xml:space="preserve">). The meter will be calibrated in the field on the day of sampling. Field parameters will include water temperature, specific conductance, dissolved oxygen, and </w:t>
      </w:r>
      <w:proofErr w:type="spellStart"/>
      <w:r>
        <w:rPr>
          <w:szCs w:val="22"/>
        </w:rPr>
        <w:t>pH.</w:t>
      </w:r>
      <w:proofErr w:type="spellEnd"/>
      <w:r>
        <w:rPr>
          <w:szCs w:val="22"/>
        </w:rPr>
        <w:t xml:space="preserve"> Field parameters will be recorded at all sample locations. At stream sites, parameters will be measured in a well-mixed portion of the stream. At lake sites, field parameters will be recorded just below the lake surface, </w:t>
      </w:r>
      <w:r w:rsidR="00371203">
        <w:rPr>
          <w:szCs w:val="22"/>
        </w:rPr>
        <w:t>except for</w:t>
      </w:r>
      <w:r>
        <w:rPr>
          <w:szCs w:val="22"/>
        </w:rPr>
        <w:t xml:space="preserve"> depth profile measurements which will be recorded at various depths within the water column. Secchi disk depth is recorded at the lake center location. Stream flow will also be recorded at the inlet (site SP-7) and outlet streams (site SP-9) using methods described in DEQ</w:t>
      </w:r>
      <w:r w:rsidR="003F2AAD">
        <w:rPr>
          <w:szCs w:val="22"/>
        </w:rPr>
        <w:t>’s Standard Operating Procedure for Total Discharge (McWilliams, 2020)</w:t>
      </w:r>
      <w:r>
        <w:rPr>
          <w:szCs w:val="22"/>
        </w:rPr>
        <w:t>.</w:t>
      </w:r>
    </w:p>
    <w:p w14:paraId="501CCEB9" w14:textId="77777777" w:rsidR="00560F8E" w:rsidRDefault="00560F8E" w:rsidP="00560F8E">
      <w:pPr>
        <w:pStyle w:val="BodyText"/>
        <w:spacing w:after="0"/>
        <w:ind w:left="0"/>
        <w:rPr>
          <w:szCs w:val="22"/>
        </w:rPr>
      </w:pPr>
    </w:p>
    <w:p w14:paraId="7C336260" w14:textId="77777777" w:rsidR="00560F8E" w:rsidRDefault="00560F8E" w:rsidP="00560F8E">
      <w:pPr>
        <w:pStyle w:val="Heading3"/>
        <w:spacing w:before="0" w:after="0"/>
      </w:pPr>
      <w:bookmarkStart w:id="30" w:name="_bookmark11"/>
      <w:bookmarkStart w:id="31" w:name="_Toc512264070"/>
      <w:bookmarkStart w:id="32" w:name="_Toc14955989"/>
      <w:bookmarkStart w:id="33" w:name="_Toc109055215"/>
      <w:bookmarkEnd w:id="30"/>
      <w:r>
        <w:t>Water Chemistry Grab Samples</w:t>
      </w:r>
      <w:bookmarkEnd w:id="31"/>
      <w:bookmarkEnd w:id="32"/>
      <w:bookmarkEnd w:id="33"/>
    </w:p>
    <w:p w14:paraId="5A51EE8A" w14:textId="77777777" w:rsidR="00560F8E" w:rsidRDefault="00560F8E" w:rsidP="00560F8E">
      <w:pPr>
        <w:pStyle w:val="BodyText"/>
        <w:spacing w:after="0"/>
        <w:ind w:left="0"/>
        <w:rPr>
          <w:szCs w:val="22"/>
        </w:rPr>
      </w:pPr>
      <w:r>
        <w:rPr>
          <w:szCs w:val="22"/>
        </w:rPr>
        <w:t xml:space="preserve">Grab samples will be collected and analyzed for water quality parameters. Water samples will be collected directly in the required bottle. Bottles shall be rinsed three times with native water prior to collection. For dissolved constituents, the sample rinses will be done with filtered water from a 0.45 </w:t>
      </w:r>
      <w:proofErr w:type="spellStart"/>
      <w:r>
        <w:rPr>
          <w:szCs w:val="22"/>
        </w:rPr>
        <w:t>μm</w:t>
      </w:r>
      <w:proofErr w:type="spellEnd"/>
      <w:r>
        <w:rPr>
          <w:szCs w:val="22"/>
        </w:rPr>
        <w:t xml:space="preserve"> filter. Water quality samples will be collected from just below the lake surface (except for depth profile samples) or in a well-mixed portion of the stream. Depth profile samples will be collected using a Van Dorn sampler. During stream sampling, the sample bottle opening should face upstream and should be drawn through the water column once, carefully avoiding disturbance of bottom sediments.</w:t>
      </w:r>
    </w:p>
    <w:p w14:paraId="1439131B" w14:textId="77777777" w:rsidR="00560F8E" w:rsidRDefault="00560F8E" w:rsidP="00560F8E">
      <w:pPr>
        <w:pStyle w:val="BodyText"/>
        <w:spacing w:after="0"/>
        <w:ind w:left="0"/>
        <w:rPr>
          <w:szCs w:val="22"/>
        </w:rPr>
      </w:pPr>
    </w:p>
    <w:p w14:paraId="6C9EA6A8" w14:textId="77777777" w:rsidR="00560F8E" w:rsidRDefault="00560F8E" w:rsidP="00560F8E">
      <w:pPr>
        <w:pStyle w:val="Heading3"/>
        <w:spacing w:before="0" w:after="0"/>
      </w:pPr>
      <w:bookmarkStart w:id="34" w:name="_bookmark12"/>
      <w:bookmarkStart w:id="35" w:name="_Toc512264071"/>
      <w:bookmarkStart w:id="36" w:name="_Toc14955990"/>
      <w:bookmarkStart w:id="37" w:name="_Toc109055216"/>
      <w:bookmarkEnd w:id="34"/>
      <w:r>
        <w:t>Chlorophyll-</w:t>
      </w:r>
      <w:r>
        <w:rPr>
          <w:i/>
        </w:rPr>
        <w:t>a</w:t>
      </w:r>
      <w:r>
        <w:t xml:space="preserve"> in the Water Column</w:t>
      </w:r>
      <w:bookmarkEnd w:id="35"/>
      <w:bookmarkEnd w:id="36"/>
      <w:bookmarkEnd w:id="37"/>
    </w:p>
    <w:p w14:paraId="1D6C6F8C" w14:textId="59D97C11" w:rsidR="00560F8E" w:rsidRDefault="00560F8E" w:rsidP="00560F8E">
      <w:pPr>
        <w:pStyle w:val="BodyText"/>
        <w:spacing w:after="0"/>
        <w:ind w:left="0"/>
        <w:rPr>
          <w:szCs w:val="22"/>
        </w:rPr>
      </w:pPr>
      <w:r>
        <w:rPr>
          <w:szCs w:val="22"/>
        </w:rPr>
        <w:t>Sampling for chlorophyll-</w:t>
      </w:r>
      <w:r>
        <w:rPr>
          <w:i/>
          <w:szCs w:val="22"/>
        </w:rPr>
        <w:t xml:space="preserve">a </w:t>
      </w:r>
      <w:r>
        <w:rPr>
          <w:szCs w:val="22"/>
        </w:rPr>
        <w:t>in the water column will follow the chlorophyll-</w:t>
      </w:r>
      <w:r>
        <w:rPr>
          <w:i/>
          <w:szCs w:val="22"/>
        </w:rPr>
        <w:t xml:space="preserve">a </w:t>
      </w:r>
      <w:r>
        <w:rPr>
          <w:szCs w:val="22"/>
        </w:rPr>
        <w:t xml:space="preserve">phytoplankton methodology described in </w:t>
      </w:r>
      <w:r w:rsidR="003F2AAD">
        <w:rPr>
          <w:szCs w:val="22"/>
        </w:rPr>
        <w:t>DEQ’s Sample Collection and Laboratory Analysis of Chlorophyll-</w:t>
      </w:r>
      <w:r w:rsidR="003F2AAD" w:rsidRPr="003F2AAD">
        <w:rPr>
          <w:i/>
          <w:iCs/>
          <w:szCs w:val="22"/>
        </w:rPr>
        <w:t>a</w:t>
      </w:r>
      <w:r w:rsidR="003F2AAD">
        <w:rPr>
          <w:szCs w:val="22"/>
        </w:rPr>
        <w:t xml:space="preserve"> Standard Operating Procedure </w:t>
      </w:r>
      <w:r>
        <w:rPr>
          <w:szCs w:val="22"/>
        </w:rPr>
        <w:t>(</w:t>
      </w:r>
      <w:r w:rsidR="00F4144D">
        <w:rPr>
          <w:szCs w:val="22"/>
        </w:rPr>
        <w:t>Suplee and Sada</w:t>
      </w:r>
      <w:r>
        <w:rPr>
          <w:szCs w:val="22"/>
        </w:rPr>
        <w:t xml:space="preserve">, </w:t>
      </w:r>
      <w:r w:rsidR="003F2AAD">
        <w:rPr>
          <w:szCs w:val="22"/>
        </w:rPr>
        <w:t>2021</w:t>
      </w:r>
      <w:r>
        <w:rPr>
          <w:szCs w:val="22"/>
        </w:rPr>
        <w:t>). Chlorophyll-a samples from the lake surface will be collected approximately 6” below the surface to avoid contamination from materials that may be floating on the surface. Chlorophyll-</w:t>
      </w:r>
      <w:r>
        <w:rPr>
          <w:i/>
          <w:szCs w:val="22"/>
        </w:rPr>
        <w:t xml:space="preserve">a </w:t>
      </w:r>
      <w:r>
        <w:rPr>
          <w:szCs w:val="22"/>
        </w:rPr>
        <w:t xml:space="preserve">samples within the depth profile of the lake will be collected with a Van Dorn sampler. Samples will be collected in 1L glass </w:t>
      </w:r>
      <w:r>
        <w:rPr>
          <w:szCs w:val="22"/>
        </w:rPr>
        <w:lastRenderedPageBreak/>
        <w:t xml:space="preserve">amber bottles and filtered in the field with glass fiber filters. The total volume of filtered water will be recorded. The filter will be placed in a centrifuge tube, labeled, wrapped in foil, and stored frozen on dry ice for delivery to the laboratory. </w:t>
      </w:r>
    </w:p>
    <w:p w14:paraId="640012B7" w14:textId="77777777" w:rsidR="00560F8E" w:rsidRDefault="00560F8E" w:rsidP="00560F8E">
      <w:pPr>
        <w:pStyle w:val="BodyText"/>
        <w:spacing w:after="0"/>
        <w:ind w:left="0"/>
      </w:pPr>
      <w:bookmarkStart w:id="38" w:name="_bookmark13"/>
      <w:bookmarkEnd w:id="38"/>
    </w:p>
    <w:p w14:paraId="71DAF3E8" w14:textId="77777777" w:rsidR="00560F8E" w:rsidRDefault="00560F8E" w:rsidP="00560F8E">
      <w:pPr>
        <w:pStyle w:val="Heading3"/>
        <w:spacing w:before="0" w:after="0"/>
      </w:pPr>
      <w:bookmarkStart w:id="39" w:name="_Toc14955991"/>
      <w:bookmarkStart w:id="40" w:name="_Toc512264072"/>
      <w:bookmarkStart w:id="41" w:name="_Toc109055217"/>
      <w:r>
        <w:t>Chlorophyll-</w:t>
      </w:r>
      <w:r>
        <w:rPr>
          <w:i/>
        </w:rPr>
        <w:t>a</w:t>
      </w:r>
      <w:r>
        <w:t xml:space="preserve"> from Benthic Substrate</w:t>
      </w:r>
      <w:bookmarkEnd w:id="39"/>
      <w:bookmarkEnd w:id="40"/>
      <w:bookmarkEnd w:id="41"/>
    </w:p>
    <w:p w14:paraId="77CC0E07" w14:textId="7D2BCA42" w:rsidR="00560F8E" w:rsidRDefault="00560F8E" w:rsidP="00560F8E">
      <w:pPr>
        <w:pStyle w:val="BodyText"/>
        <w:spacing w:after="0"/>
        <w:ind w:left="0"/>
        <w:rPr>
          <w:szCs w:val="22"/>
        </w:rPr>
      </w:pPr>
      <w:r>
        <w:rPr>
          <w:szCs w:val="22"/>
        </w:rPr>
        <w:t>Sampling for chlorophyll-</w:t>
      </w:r>
      <w:r>
        <w:rPr>
          <w:i/>
          <w:szCs w:val="22"/>
        </w:rPr>
        <w:t xml:space="preserve">a </w:t>
      </w:r>
      <w:r>
        <w:rPr>
          <w:szCs w:val="22"/>
        </w:rPr>
        <w:t xml:space="preserve">from benthic substrate will follow methodology described </w:t>
      </w:r>
      <w:proofErr w:type="gramStart"/>
      <w:r>
        <w:rPr>
          <w:szCs w:val="22"/>
        </w:rPr>
        <w:t>in  the</w:t>
      </w:r>
      <w:proofErr w:type="gramEnd"/>
      <w:r>
        <w:rPr>
          <w:szCs w:val="22"/>
        </w:rPr>
        <w:t xml:space="preserve"> </w:t>
      </w:r>
      <w:r w:rsidR="00323AB9">
        <w:rPr>
          <w:szCs w:val="22"/>
        </w:rPr>
        <w:t xml:space="preserve">Sample Collection and Laboratory Analysis of Chlorophyll-a </w:t>
      </w:r>
      <w:proofErr w:type="spellStart"/>
      <w:r w:rsidR="00323AB9">
        <w:rPr>
          <w:szCs w:val="22"/>
        </w:rPr>
        <w:t>SOP</w:t>
      </w:r>
      <w:r>
        <w:rPr>
          <w:szCs w:val="22"/>
        </w:rPr>
        <w:t>l</w:t>
      </w:r>
      <w:proofErr w:type="spellEnd"/>
      <w:r>
        <w:rPr>
          <w:szCs w:val="22"/>
        </w:rPr>
        <w:t xml:space="preserve">, but will be modified for lake substrates within the </w:t>
      </w:r>
      <w:proofErr w:type="spellStart"/>
      <w:r>
        <w:rPr>
          <w:szCs w:val="22"/>
        </w:rPr>
        <w:t>wadeable</w:t>
      </w:r>
      <w:proofErr w:type="spellEnd"/>
      <w:r>
        <w:rPr>
          <w:szCs w:val="22"/>
        </w:rPr>
        <w:t xml:space="preserve"> zone near shoreline</w:t>
      </w:r>
      <w:r w:rsidR="00323AB9">
        <w:rPr>
          <w:szCs w:val="22"/>
        </w:rPr>
        <w:t xml:space="preserve"> (</w:t>
      </w:r>
      <w:r w:rsidR="002243FE">
        <w:rPr>
          <w:szCs w:val="22"/>
        </w:rPr>
        <w:t>Suplee and Sada</w:t>
      </w:r>
      <w:r w:rsidR="00DF34F8">
        <w:rPr>
          <w:szCs w:val="22"/>
        </w:rPr>
        <w:t>, 2021)</w:t>
      </w:r>
      <w:r>
        <w:rPr>
          <w:szCs w:val="22"/>
        </w:rPr>
        <w:t xml:space="preserve">. The lakeshore will be sampled along a 100m transect with sub-samples evenly spaced throughout the transect. Eleven (11) sub-samples will be collected from each sample location which will be composited into a single sample. The maximum depth of sampling will be 0.5m. Substrate in Little Bitterroot Lake is predominantly </w:t>
      </w:r>
      <w:proofErr w:type="gramStart"/>
      <w:r>
        <w:rPr>
          <w:szCs w:val="22"/>
        </w:rPr>
        <w:t>cobble</w:t>
      </w:r>
      <w:proofErr w:type="gramEnd"/>
      <w:r>
        <w:rPr>
          <w:szCs w:val="22"/>
        </w:rPr>
        <w:t xml:space="preserve"> and large gravels which will be most conducive to sampling with the template method, but the hoop or core method may be used depending on substrate encountered at each location. Sub-samples will be composited at the laboratory from only the same sampling method if multiple methods are used (e.g., the lab will composite template samples together, core samples together, and hoop samples together) such that a reach-wide weighted average chlorophyll-a concentration can be calculated. An Aquatic Plant Tracking Form and Aquatic Plant Visual Assessment Form will be completed at each location. Samples will be filtered in the field with glass fiber filters. The total area sampled will be recorded. The filter will be placed in a centrifuge tube, labeled, wrapped in foil, and stored on dry ice for delivery to the laboratory. </w:t>
      </w:r>
    </w:p>
    <w:p w14:paraId="6A432165" w14:textId="77777777" w:rsidR="00560F8E" w:rsidRDefault="00560F8E" w:rsidP="00560F8E">
      <w:pPr>
        <w:pStyle w:val="BodyText"/>
        <w:spacing w:after="0"/>
        <w:ind w:left="0"/>
      </w:pPr>
      <w:bookmarkStart w:id="42" w:name="_bookmark15"/>
      <w:bookmarkEnd w:id="42"/>
    </w:p>
    <w:p w14:paraId="2C650D76" w14:textId="77777777" w:rsidR="00560F8E" w:rsidRDefault="00560F8E" w:rsidP="00560F8E">
      <w:pPr>
        <w:pStyle w:val="Heading3"/>
        <w:spacing w:before="0" w:after="0"/>
      </w:pPr>
      <w:bookmarkStart w:id="43" w:name="_Toc14955992"/>
      <w:bookmarkStart w:id="44" w:name="_Toc512264073"/>
      <w:bookmarkStart w:id="45" w:name="_Toc109055218"/>
      <w:r>
        <w:t>Sample Handling</w:t>
      </w:r>
      <w:bookmarkEnd w:id="43"/>
      <w:bookmarkEnd w:id="44"/>
      <w:bookmarkEnd w:id="45"/>
    </w:p>
    <w:p w14:paraId="3BC245AE" w14:textId="1DCF2157" w:rsidR="00560F8E" w:rsidRDefault="00560F8E" w:rsidP="00560F8E">
      <w:pPr>
        <w:pStyle w:val="BodyText"/>
        <w:spacing w:after="0"/>
        <w:ind w:left="0"/>
        <w:rPr>
          <w:szCs w:val="22"/>
        </w:rPr>
      </w:pPr>
      <w:r>
        <w:rPr>
          <w:szCs w:val="22"/>
        </w:rPr>
        <w:t xml:space="preserve">All samples will be properly labeled. Any samples that must be chilled to 6 </w:t>
      </w:r>
      <w:r>
        <w:rPr>
          <w:rFonts w:ascii="DFKai-SB" w:eastAsia="DFKai-SB" w:hAnsi="DFKai-SB" w:hint="eastAsia"/>
          <w:szCs w:val="22"/>
        </w:rPr>
        <w:t>°</w:t>
      </w:r>
      <w:r>
        <w:rPr>
          <w:szCs w:val="22"/>
        </w:rPr>
        <w:t>C or less for transport to the lab (</w:t>
      </w:r>
      <w:r w:rsidRPr="00E803CC">
        <w:rPr>
          <w:b/>
          <w:bCs/>
          <w:szCs w:val="22"/>
        </w:rPr>
        <w:t xml:space="preserve">Table </w:t>
      </w:r>
      <w:r w:rsidR="00E803CC" w:rsidRPr="00E803CC">
        <w:rPr>
          <w:b/>
          <w:bCs/>
          <w:szCs w:val="22"/>
        </w:rPr>
        <w:t>6</w:t>
      </w:r>
      <w:r>
        <w:rPr>
          <w:szCs w:val="22"/>
        </w:rPr>
        <w:t>) will be stored in coolers on regular ice. Any samples that must be frozen following collection (</w:t>
      </w:r>
      <w:r w:rsidRPr="00F56197">
        <w:rPr>
          <w:b/>
          <w:bCs/>
          <w:szCs w:val="22"/>
        </w:rPr>
        <w:t xml:space="preserve">Table </w:t>
      </w:r>
      <w:r w:rsidR="00E803CC">
        <w:rPr>
          <w:b/>
          <w:bCs/>
          <w:szCs w:val="22"/>
        </w:rPr>
        <w:t>6</w:t>
      </w:r>
      <w:r>
        <w:rPr>
          <w:szCs w:val="22"/>
        </w:rPr>
        <w:t>) will be stored frozen on dry ice. Chlorophyll-</w:t>
      </w:r>
      <w:r>
        <w:rPr>
          <w:i/>
          <w:szCs w:val="22"/>
        </w:rPr>
        <w:t>a</w:t>
      </w:r>
      <w:r>
        <w:rPr>
          <w:szCs w:val="22"/>
        </w:rPr>
        <w:t xml:space="preserve"> from the water column and benthic algae will be filtered in the field, labeled, wrapped in foil, and stored frozen on dry ice.</w:t>
      </w:r>
      <w:r w:rsidR="00E803CC">
        <w:rPr>
          <w:szCs w:val="22"/>
        </w:rPr>
        <w:t xml:space="preserve"> Samples will be hand delivered to Energy Laboratories in Helena after leaving the field location on the second sampling day.</w:t>
      </w:r>
    </w:p>
    <w:p w14:paraId="26F7E793" w14:textId="77777777" w:rsidR="00560F8E" w:rsidRDefault="00560F8E" w:rsidP="00560F8E">
      <w:pPr>
        <w:pStyle w:val="BodyText"/>
        <w:spacing w:after="0"/>
        <w:ind w:left="0"/>
        <w:rPr>
          <w:szCs w:val="22"/>
        </w:rPr>
      </w:pPr>
    </w:p>
    <w:p w14:paraId="0F7BB132" w14:textId="77777777" w:rsidR="00560F8E" w:rsidRDefault="00560F8E" w:rsidP="00560F8E">
      <w:pPr>
        <w:pStyle w:val="Heading3"/>
        <w:spacing w:before="0" w:after="0"/>
      </w:pPr>
      <w:bookmarkStart w:id="46" w:name="_bookmark16"/>
      <w:bookmarkStart w:id="47" w:name="_Toc512264074"/>
      <w:bookmarkStart w:id="48" w:name="_Toc14955993"/>
      <w:bookmarkStart w:id="49" w:name="_Toc109055219"/>
      <w:bookmarkEnd w:id="46"/>
      <w:r>
        <w:t>Observations and Additional Data</w:t>
      </w:r>
      <w:bookmarkEnd w:id="47"/>
      <w:bookmarkEnd w:id="48"/>
      <w:bookmarkEnd w:id="49"/>
    </w:p>
    <w:p w14:paraId="174986E2" w14:textId="013477FC" w:rsidR="00560F8E" w:rsidRDefault="00560F8E" w:rsidP="00560F8E">
      <w:pPr>
        <w:pStyle w:val="BodyText"/>
        <w:spacing w:after="0"/>
        <w:ind w:left="0"/>
        <w:rPr>
          <w:szCs w:val="22"/>
        </w:rPr>
      </w:pPr>
      <w:r>
        <w:rPr>
          <w:szCs w:val="22"/>
        </w:rPr>
        <w:t>Observations (</w:t>
      </w:r>
      <w:proofErr w:type="gramStart"/>
      <w:r>
        <w:rPr>
          <w:szCs w:val="22"/>
        </w:rPr>
        <w:t>e.g.</w:t>
      </w:r>
      <w:proofErr w:type="gramEnd"/>
      <w:r>
        <w:rPr>
          <w:szCs w:val="22"/>
        </w:rPr>
        <w:t xml:space="preserve"> animal activity, weather, algae growth, Secchi disk depth) and field calibration notes will be recorded in a field book. GPS locations will be recorded for any new locations which haven’t previously been sampled. The GPS coordinate system datum will be NAD 1983 State Plane Montana, in decimal degrees to at least the fourth decimal.</w:t>
      </w:r>
    </w:p>
    <w:p w14:paraId="7AC85D05" w14:textId="77777777" w:rsidR="00560F8E" w:rsidRDefault="00560F8E" w:rsidP="00560F8E">
      <w:pPr>
        <w:pStyle w:val="BodyText"/>
        <w:spacing w:after="0"/>
        <w:ind w:left="0"/>
        <w:rPr>
          <w:szCs w:val="22"/>
        </w:rPr>
      </w:pPr>
    </w:p>
    <w:p w14:paraId="73A58F9C" w14:textId="77777777" w:rsidR="00560F8E" w:rsidRDefault="00560F8E" w:rsidP="00560F8E">
      <w:pPr>
        <w:pStyle w:val="BodyText"/>
        <w:spacing w:after="0"/>
        <w:ind w:left="0"/>
        <w:rPr>
          <w:szCs w:val="22"/>
        </w:rPr>
      </w:pPr>
      <w:r>
        <w:rPr>
          <w:szCs w:val="22"/>
        </w:rPr>
        <w:t>Pictures will be taken as needed to document the sample location or site conditions. All pictures will be documented with the following information recorded:</w:t>
      </w:r>
    </w:p>
    <w:p w14:paraId="31834B2F" w14:textId="77777777" w:rsidR="00560F8E" w:rsidRDefault="00560F8E" w:rsidP="00560F8E">
      <w:pPr>
        <w:pStyle w:val="ListParagraph"/>
        <w:widowControl w:val="0"/>
        <w:numPr>
          <w:ilvl w:val="2"/>
          <w:numId w:val="18"/>
        </w:numPr>
        <w:tabs>
          <w:tab w:val="left" w:pos="821"/>
        </w:tabs>
        <w:autoSpaceDE w:val="0"/>
        <w:autoSpaceDN w:val="0"/>
        <w:spacing w:after="0" w:line="240" w:lineRule="auto"/>
        <w:ind w:left="0" w:firstLine="450"/>
      </w:pPr>
      <w:r>
        <w:t>Picture</w:t>
      </w:r>
      <w:r>
        <w:rPr>
          <w:spacing w:val="-2"/>
        </w:rPr>
        <w:t xml:space="preserve"> </w:t>
      </w:r>
      <w:r>
        <w:t>number</w:t>
      </w:r>
    </w:p>
    <w:p w14:paraId="14E81920" w14:textId="77777777" w:rsidR="00560F8E" w:rsidRDefault="00560F8E" w:rsidP="00560F8E">
      <w:pPr>
        <w:pStyle w:val="ListParagraph"/>
        <w:widowControl w:val="0"/>
        <w:numPr>
          <w:ilvl w:val="2"/>
          <w:numId w:val="18"/>
        </w:numPr>
        <w:tabs>
          <w:tab w:val="left" w:pos="821"/>
        </w:tabs>
        <w:autoSpaceDE w:val="0"/>
        <w:autoSpaceDN w:val="0"/>
        <w:spacing w:after="0" w:line="279" w:lineRule="exact"/>
        <w:ind w:left="0" w:firstLine="450"/>
      </w:pPr>
      <w:r>
        <w:t>Date and</w:t>
      </w:r>
      <w:r>
        <w:rPr>
          <w:spacing w:val="-3"/>
        </w:rPr>
        <w:t xml:space="preserve"> </w:t>
      </w:r>
      <w:r>
        <w:t>time</w:t>
      </w:r>
    </w:p>
    <w:p w14:paraId="2718AC4E" w14:textId="77777777" w:rsidR="00560F8E" w:rsidRDefault="00560F8E" w:rsidP="00560F8E">
      <w:pPr>
        <w:pStyle w:val="ListParagraph"/>
        <w:widowControl w:val="0"/>
        <w:numPr>
          <w:ilvl w:val="2"/>
          <w:numId w:val="18"/>
        </w:numPr>
        <w:tabs>
          <w:tab w:val="left" w:pos="821"/>
        </w:tabs>
        <w:autoSpaceDE w:val="0"/>
        <w:autoSpaceDN w:val="0"/>
        <w:spacing w:after="0" w:line="279" w:lineRule="exact"/>
        <w:ind w:left="0" w:firstLine="450"/>
      </w:pPr>
      <w:r>
        <w:t>Station</w:t>
      </w:r>
      <w:r>
        <w:rPr>
          <w:spacing w:val="-5"/>
        </w:rPr>
        <w:t xml:space="preserve"> </w:t>
      </w:r>
      <w:r>
        <w:t>ID</w:t>
      </w:r>
    </w:p>
    <w:p w14:paraId="7896F157" w14:textId="3952D6D6" w:rsidR="00560F8E" w:rsidRDefault="00560F8E" w:rsidP="00560F8E">
      <w:pPr>
        <w:pStyle w:val="ListParagraph"/>
        <w:widowControl w:val="0"/>
        <w:numPr>
          <w:ilvl w:val="2"/>
          <w:numId w:val="18"/>
        </w:numPr>
        <w:tabs>
          <w:tab w:val="left" w:pos="821"/>
        </w:tabs>
        <w:autoSpaceDE w:val="0"/>
        <w:autoSpaceDN w:val="0"/>
        <w:spacing w:after="0" w:line="240" w:lineRule="auto"/>
        <w:ind w:left="0" w:firstLine="450"/>
      </w:pPr>
      <w:r>
        <w:t>Directional reference (facing upstream or downstream and N, S, E,</w:t>
      </w:r>
      <w:r>
        <w:rPr>
          <w:spacing w:val="-23"/>
        </w:rPr>
        <w:t xml:space="preserve"> </w:t>
      </w:r>
      <w:r>
        <w:t>W)</w:t>
      </w:r>
    </w:p>
    <w:p w14:paraId="3A08A277" w14:textId="784D7715" w:rsidR="00560F8E" w:rsidRDefault="00560F8E" w:rsidP="00560F8E">
      <w:pPr>
        <w:pStyle w:val="ListParagraph"/>
        <w:widowControl w:val="0"/>
        <w:tabs>
          <w:tab w:val="left" w:pos="821"/>
        </w:tabs>
        <w:autoSpaceDE w:val="0"/>
        <w:autoSpaceDN w:val="0"/>
        <w:spacing w:after="0" w:line="240" w:lineRule="auto"/>
        <w:ind w:left="450"/>
      </w:pPr>
    </w:p>
    <w:p w14:paraId="4EDE6840" w14:textId="77777777" w:rsidR="00560F8E" w:rsidRDefault="00560F8E" w:rsidP="00560F8E">
      <w:pPr>
        <w:pStyle w:val="ListParagraph"/>
        <w:widowControl w:val="0"/>
        <w:tabs>
          <w:tab w:val="left" w:pos="821"/>
        </w:tabs>
        <w:autoSpaceDE w:val="0"/>
        <w:autoSpaceDN w:val="0"/>
        <w:spacing w:after="0" w:line="240" w:lineRule="auto"/>
        <w:ind w:left="450"/>
      </w:pPr>
    </w:p>
    <w:p w14:paraId="7813C404" w14:textId="77777777" w:rsidR="00C6280D" w:rsidRDefault="00C6280D">
      <w:pPr>
        <w:rPr>
          <w:rFonts w:cstheme="minorHAnsi"/>
          <w:b/>
          <w:bCs/>
          <w:caps/>
          <w:kern w:val="32"/>
          <w:sz w:val="36"/>
          <w:szCs w:val="32"/>
        </w:rPr>
      </w:pPr>
      <w:r>
        <w:br w:type="page"/>
      </w:r>
    </w:p>
    <w:p w14:paraId="2EFE8338" w14:textId="53E44ABB" w:rsidR="00F56197" w:rsidRPr="00C6280D" w:rsidRDefault="00826EE0" w:rsidP="00920FC9">
      <w:pPr>
        <w:pStyle w:val="Heading1"/>
      </w:pPr>
      <w:bookmarkStart w:id="50" w:name="_Toc109055220"/>
      <w:r>
        <w:lastRenderedPageBreak/>
        <w:t xml:space="preserve">4.0 </w:t>
      </w:r>
      <w:r w:rsidR="00A1304C" w:rsidRPr="00997346">
        <w:t xml:space="preserve">Laboratory </w:t>
      </w:r>
      <w:r>
        <w:t>Analytical Requirements</w:t>
      </w:r>
      <w:bookmarkEnd w:id="50"/>
    </w:p>
    <w:p w14:paraId="216BCAAE" w14:textId="6C36BF1A" w:rsidR="00F56197" w:rsidRDefault="00F56197" w:rsidP="00C04070">
      <w:pPr>
        <w:rPr>
          <w:rFonts w:cstheme="minorHAnsi"/>
          <w:b/>
          <w:szCs w:val="22"/>
        </w:rPr>
      </w:pPr>
    </w:p>
    <w:p w14:paraId="0B4E35C5" w14:textId="06DF5F90" w:rsidR="00E803CC" w:rsidRPr="00EA09EC" w:rsidRDefault="00E803CC" w:rsidP="00C04070">
      <w:pPr>
        <w:rPr>
          <w:rFonts w:cstheme="minorHAnsi"/>
          <w:bCs/>
          <w:szCs w:val="22"/>
        </w:rPr>
      </w:pPr>
      <w:r w:rsidRPr="00EA09EC">
        <w:rPr>
          <w:rFonts w:cstheme="minorHAnsi"/>
          <w:bCs/>
          <w:szCs w:val="22"/>
        </w:rPr>
        <w:t>All samples will be analyzed by Energy Laboratories in Helena, MT. Samples with short holding times will be collected on the final sampling day and</w:t>
      </w:r>
      <w:r w:rsidR="00EA09EC" w:rsidRPr="00EA09EC">
        <w:rPr>
          <w:rFonts w:cstheme="minorHAnsi"/>
          <w:bCs/>
          <w:szCs w:val="22"/>
        </w:rPr>
        <w:t xml:space="preserve"> hand</w:t>
      </w:r>
      <w:r w:rsidRPr="00EA09EC">
        <w:rPr>
          <w:rFonts w:cstheme="minorHAnsi"/>
          <w:bCs/>
          <w:szCs w:val="22"/>
        </w:rPr>
        <w:t xml:space="preserve"> delivered </w:t>
      </w:r>
      <w:r w:rsidR="00EA09EC" w:rsidRPr="00EA09EC">
        <w:rPr>
          <w:rFonts w:cstheme="minorHAnsi"/>
          <w:bCs/>
          <w:szCs w:val="22"/>
        </w:rPr>
        <w:t xml:space="preserve">following field collection to the laboratory within the required holding time. No samples will be shipped. </w:t>
      </w:r>
    </w:p>
    <w:p w14:paraId="667AC8A2" w14:textId="77777777" w:rsidR="00E803CC" w:rsidRDefault="00E803CC" w:rsidP="00C04070">
      <w:pPr>
        <w:rPr>
          <w:rFonts w:cstheme="minorHAnsi"/>
          <w:b/>
          <w:szCs w:val="22"/>
        </w:rPr>
      </w:pPr>
    </w:p>
    <w:p w14:paraId="36ED9E6A" w14:textId="74FCCDB0" w:rsidR="0068123A" w:rsidRDefault="0068123A" w:rsidP="00C04070">
      <w:pPr>
        <w:rPr>
          <w:rFonts w:cstheme="minorHAnsi"/>
          <w:b/>
          <w:szCs w:val="22"/>
        </w:rPr>
      </w:pPr>
      <w:r w:rsidRPr="00BD479C">
        <w:rPr>
          <w:rFonts w:cstheme="minorHAnsi"/>
          <w:b/>
          <w:szCs w:val="22"/>
        </w:rPr>
        <w:t xml:space="preserve">Table </w:t>
      </w:r>
      <w:r w:rsidR="00826EE0">
        <w:rPr>
          <w:rFonts w:cstheme="minorHAnsi"/>
          <w:b/>
          <w:szCs w:val="22"/>
        </w:rPr>
        <w:t>6</w:t>
      </w:r>
      <w:r w:rsidR="00D76268" w:rsidRPr="00BD479C">
        <w:rPr>
          <w:rFonts w:cstheme="minorHAnsi"/>
          <w:b/>
          <w:szCs w:val="22"/>
        </w:rPr>
        <w:t xml:space="preserve">. </w:t>
      </w:r>
      <w:r w:rsidR="00CD2F0E" w:rsidRPr="00BD479C">
        <w:rPr>
          <w:rFonts w:cstheme="minorHAnsi"/>
          <w:b/>
          <w:szCs w:val="22"/>
        </w:rPr>
        <w:t>Monitoring Parameter</w:t>
      </w:r>
      <w:r w:rsidR="00CD2F0E">
        <w:rPr>
          <w:rFonts w:cstheme="minorHAnsi"/>
          <w:b/>
          <w:szCs w:val="22"/>
        </w:rPr>
        <w:t xml:space="preserve"> Suite, Sample Handling, Analysis &amp; Preservation</w:t>
      </w:r>
    </w:p>
    <w:tbl>
      <w:tblPr>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73"/>
        <w:gridCol w:w="1231"/>
        <w:gridCol w:w="1523"/>
        <w:gridCol w:w="1041"/>
        <w:gridCol w:w="1342"/>
        <w:gridCol w:w="1485"/>
      </w:tblGrid>
      <w:tr w:rsidR="00F56197" w14:paraId="4E80AE4C" w14:textId="77777777" w:rsidTr="00F56197">
        <w:trPr>
          <w:trHeight w:hRule="exact" w:val="1235"/>
          <w:jc w:val="center"/>
        </w:trPr>
        <w:tc>
          <w:tcPr>
            <w:tcW w:w="2973" w:type="dxa"/>
            <w:tcBorders>
              <w:top w:val="single" w:sz="4" w:space="0" w:color="auto"/>
              <w:left w:val="single" w:sz="4" w:space="0" w:color="auto"/>
              <w:bottom w:val="single" w:sz="4" w:space="0" w:color="auto"/>
              <w:right w:val="single" w:sz="4" w:space="0" w:color="auto"/>
            </w:tcBorders>
            <w:shd w:val="clear" w:color="auto" w:fill="D5E2BB"/>
            <w:vAlign w:val="center"/>
          </w:tcPr>
          <w:p w14:paraId="3AC8E1BE" w14:textId="77777777" w:rsidR="00F56197" w:rsidRPr="00F56197" w:rsidRDefault="00F56197" w:rsidP="00AC0DED">
            <w:pPr>
              <w:pStyle w:val="TableParagraph"/>
              <w:spacing w:before="0"/>
              <w:rPr>
                <w:rFonts w:asciiTheme="minorHAnsi" w:hAnsiTheme="minorHAnsi" w:cstheme="minorHAnsi"/>
                <w:b/>
                <w:sz w:val="20"/>
                <w:szCs w:val="20"/>
              </w:rPr>
            </w:pPr>
          </w:p>
          <w:p w14:paraId="4789122F" w14:textId="77777777" w:rsidR="00F56197" w:rsidRPr="00F56197" w:rsidRDefault="00F56197" w:rsidP="00AC0DED">
            <w:pPr>
              <w:pStyle w:val="TableParagraph"/>
              <w:rPr>
                <w:rFonts w:asciiTheme="minorHAnsi" w:hAnsiTheme="minorHAnsi" w:cstheme="minorHAnsi"/>
                <w:b/>
                <w:sz w:val="20"/>
                <w:szCs w:val="20"/>
              </w:rPr>
            </w:pPr>
          </w:p>
          <w:p w14:paraId="708B7EF2" w14:textId="77777777" w:rsidR="00F56197" w:rsidRPr="00F56197" w:rsidRDefault="00F56197" w:rsidP="00AC0DED">
            <w:pPr>
              <w:pStyle w:val="TableParagraph"/>
              <w:spacing w:before="1"/>
              <w:ind w:left="147" w:right="146"/>
              <w:rPr>
                <w:rFonts w:asciiTheme="minorHAnsi" w:hAnsiTheme="minorHAnsi" w:cstheme="minorHAnsi"/>
                <w:b/>
                <w:sz w:val="20"/>
                <w:szCs w:val="20"/>
              </w:rPr>
            </w:pPr>
            <w:r w:rsidRPr="00F56197">
              <w:rPr>
                <w:rFonts w:asciiTheme="minorHAnsi" w:hAnsiTheme="minorHAnsi" w:cstheme="minorHAnsi"/>
                <w:b/>
                <w:sz w:val="20"/>
                <w:szCs w:val="20"/>
              </w:rPr>
              <w:t>Parameter</w:t>
            </w:r>
          </w:p>
        </w:tc>
        <w:tc>
          <w:tcPr>
            <w:tcW w:w="1231" w:type="dxa"/>
            <w:tcBorders>
              <w:top w:val="single" w:sz="4" w:space="0" w:color="auto"/>
              <w:left w:val="single" w:sz="4" w:space="0" w:color="auto"/>
              <w:bottom w:val="single" w:sz="4" w:space="0" w:color="auto"/>
              <w:right w:val="single" w:sz="4" w:space="0" w:color="auto"/>
            </w:tcBorders>
            <w:shd w:val="clear" w:color="auto" w:fill="D5E2BB"/>
            <w:vAlign w:val="center"/>
          </w:tcPr>
          <w:p w14:paraId="3291FD01" w14:textId="77777777" w:rsidR="00F56197" w:rsidRPr="00F56197" w:rsidRDefault="00F56197" w:rsidP="00AC0DED">
            <w:pPr>
              <w:pStyle w:val="TableParagraph"/>
              <w:rPr>
                <w:rFonts w:asciiTheme="minorHAnsi" w:hAnsiTheme="minorHAnsi" w:cstheme="minorHAnsi"/>
                <w:b/>
                <w:sz w:val="20"/>
                <w:szCs w:val="20"/>
              </w:rPr>
            </w:pPr>
          </w:p>
          <w:p w14:paraId="25A3E934" w14:textId="77777777" w:rsidR="00F56197" w:rsidRPr="00F56197" w:rsidRDefault="00F56197" w:rsidP="00AC0DED">
            <w:pPr>
              <w:pStyle w:val="TableParagraph"/>
              <w:spacing w:before="0"/>
              <w:ind w:left="166" w:right="81" w:hanging="68"/>
              <w:rPr>
                <w:rFonts w:asciiTheme="minorHAnsi" w:hAnsiTheme="minorHAnsi" w:cstheme="minorHAnsi"/>
                <w:b/>
                <w:sz w:val="20"/>
                <w:szCs w:val="20"/>
              </w:rPr>
            </w:pPr>
            <w:r w:rsidRPr="00F56197">
              <w:rPr>
                <w:rFonts w:asciiTheme="minorHAnsi" w:hAnsiTheme="minorHAnsi" w:cstheme="minorHAnsi"/>
                <w:b/>
                <w:sz w:val="20"/>
                <w:szCs w:val="20"/>
              </w:rPr>
              <w:t>Preferred Method</w:t>
            </w:r>
          </w:p>
        </w:tc>
        <w:tc>
          <w:tcPr>
            <w:tcW w:w="1523" w:type="dxa"/>
            <w:tcBorders>
              <w:top w:val="single" w:sz="4" w:space="0" w:color="auto"/>
              <w:left w:val="single" w:sz="4" w:space="0" w:color="auto"/>
              <w:bottom w:val="single" w:sz="4" w:space="0" w:color="auto"/>
              <w:right w:val="single" w:sz="4" w:space="0" w:color="auto"/>
            </w:tcBorders>
            <w:shd w:val="clear" w:color="auto" w:fill="D5E2BB"/>
            <w:vAlign w:val="center"/>
          </w:tcPr>
          <w:p w14:paraId="466D699E" w14:textId="77777777" w:rsidR="00F56197" w:rsidRPr="00F56197" w:rsidRDefault="00F56197" w:rsidP="00AC0DED">
            <w:pPr>
              <w:pStyle w:val="TableParagraph"/>
              <w:rPr>
                <w:rFonts w:asciiTheme="minorHAnsi" w:hAnsiTheme="minorHAnsi" w:cstheme="minorHAnsi"/>
                <w:b/>
                <w:sz w:val="20"/>
                <w:szCs w:val="20"/>
              </w:rPr>
            </w:pPr>
          </w:p>
          <w:p w14:paraId="6E799E26" w14:textId="76806C4B" w:rsidR="00F56197" w:rsidRPr="00F56197" w:rsidRDefault="00F56197" w:rsidP="00AC0DED">
            <w:pPr>
              <w:pStyle w:val="TableParagraph"/>
              <w:spacing w:before="0"/>
              <w:ind w:left="206" w:right="203" w:firstLine="40"/>
              <w:rPr>
                <w:rFonts w:asciiTheme="minorHAnsi" w:hAnsiTheme="minorHAnsi" w:cstheme="minorHAnsi"/>
                <w:b/>
                <w:sz w:val="20"/>
                <w:szCs w:val="20"/>
              </w:rPr>
            </w:pPr>
            <w:r w:rsidRPr="00F56197">
              <w:rPr>
                <w:rFonts w:asciiTheme="minorHAnsi" w:hAnsiTheme="minorHAnsi" w:cstheme="minorHAnsi"/>
                <w:b/>
                <w:sz w:val="20"/>
                <w:szCs w:val="20"/>
              </w:rPr>
              <w:t xml:space="preserve">Required Reporting Limit </w:t>
            </w:r>
            <w:r w:rsidR="00081CFF">
              <w:rPr>
                <w:rFonts w:asciiTheme="minorHAnsi" w:hAnsiTheme="minorHAnsi" w:cstheme="minorHAnsi"/>
                <w:b/>
                <w:sz w:val="20"/>
                <w:szCs w:val="20"/>
              </w:rPr>
              <w:t>µ</w:t>
            </w:r>
            <w:r w:rsidRPr="00F56197">
              <w:rPr>
                <w:rFonts w:asciiTheme="minorHAnsi" w:hAnsiTheme="minorHAnsi" w:cstheme="minorHAnsi"/>
                <w:b/>
                <w:sz w:val="20"/>
                <w:szCs w:val="20"/>
              </w:rPr>
              <w:t>g/L</w:t>
            </w:r>
          </w:p>
        </w:tc>
        <w:tc>
          <w:tcPr>
            <w:tcW w:w="1041" w:type="dxa"/>
            <w:tcBorders>
              <w:top w:val="single" w:sz="4" w:space="0" w:color="auto"/>
              <w:left w:val="single" w:sz="4" w:space="0" w:color="auto"/>
              <w:bottom w:val="single" w:sz="4" w:space="0" w:color="auto"/>
              <w:right w:val="single" w:sz="4" w:space="0" w:color="auto"/>
            </w:tcBorders>
            <w:shd w:val="clear" w:color="auto" w:fill="D5E2BB"/>
            <w:vAlign w:val="center"/>
          </w:tcPr>
          <w:p w14:paraId="4AB50A25" w14:textId="77777777" w:rsidR="00F56197" w:rsidRPr="00F56197" w:rsidRDefault="00F56197" w:rsidP="00AC0DED">
            <w:pPr>
              <w:pStyle w:val="TableParagraph"/>
              <w:rPr>
                <w:rFonts w:asciiTheme="minorHAnsi" w:hAnsiTheme="minorHAnsi" w:cstheme="minorHAnsi"/>
                <w:b/>
                <w:sz w:val="20"/>
                <w:szCs w:val="20"/>
              </w:rPr>
            </w:pPr>
          </w:p>
          <w:p w14:paraId="1E530E7A" w14:textId="77777777" w:rsidR="00F56197" w:rsidRPr="00F56197" w:rsidRDefault="00F56197" w:rsidP="00AC0DED">
            <w:pPr>
              <w:pStyle w:val="TableParagraph"/>
              <w:spacing w:before="0"/>
              <w:ind w:left="223" w:right="78" w:hanging="125"/>
              <w:rPr>
                <w:rFonts w:asciiTheme="minorHAnsi" w:hAnsiTheme="minorHAnsi" w:cstheme="minorHAnsi"/>
                <w:b/>
                <w:sz w:val="20"/>
                <w:szCs w:val="20"/>
              </w:rPr>
            </w:pPr>
            <w:r w:rsidRPr="00F56197">
              <w:rPr>
                <w:rFonts w:asciiTheme="minorHAnsi" w:hAnsiTheme="minorHAnsi" w:cstheme="minorHAnsi"/>
                <w:b/>
                <w:sz w:val="20"/>
                <w:szCs w:val="20"/>
              </w:rPr>
              <w:t>Holding Time Days</w:t>
            </w:r>
          </w:p>
        </w:tc>
        <w:tc>
          <w:tcPr>
            <w:tcW w:w="1342" w:type="dxa"/>
            <w:tcBorders>
              <w:top w:val="single" w:sz="4" w:space="0" w:color="auto"/>
              <w:left w:val="single" w:sz="4" w:space="0" w:color="auto"/>
              <w:bottom w:val="single" w:sz="4" w:space="0" w:color="auto"/>
              <w:right w:val="single" w:sz="4" w:space="0" w:color="auto"/>
            </w:tcBorders>
            <w:shd w:val="clear" w:color="auto" w:fill="D5E2BB"/>
            <w:vAlign w:val="center"/>
          </w:tcPr>
          <w:p w14:paraId="6872B38B" w14:textId="27E07C61" w:rsidR="00F56197" w:rsidRPr="00F56197" w:rsidRDefault="00F56197" w:rsidP="00AC0DED">
            <w:pPr>
              <w:pStyle w:val="TableParagraph"/>
              <w:spacing w:before="1"/>
              <w:rPr>
                <w:rFonts w:asciiTheme="minorHAnsi" w:hAnsiTheme="minorHAnsi" w:cstheme="minorHAnsi"/>
                <w:b/>
                <w:sz w:val="20"/>
                <w:szCs w:val="20"/>
              </w:rPr>
            </w:pPr>
            <w:r w:rsidRPr="00F56197">
              <w:rPr>
                <w:rFonts w:asciiTheme="minorHAnsi" w:hAnsiTheme="minorHAnsi" w:cstheme="minorHAnsi"/>
                <w:b/>
                <w:bCs/>
                <w:sz w:val="20"/>
                <w:szCs w:val="20"/>
              </w:rPr>
              <w:t>Sample Container (size and material)</w:t>
            </w:r>
          </w:p>
        </w:tc>
        <w:tc>
          <w:tcPr>
            <w:tcW w:w="1485" w:type="dxa"/>
            <w:tcBorders>
              <w:top w:val="single" w:sz="4" w:space="0" w:color="auto"/>
              <w:left w:val="single" w:sz="4" w:space="0" w:color="auto"/>
              <w:bottom w:val="single" w:sz="4" w:space="0" w:color="auto"/>
              <w:right w:val="single" w:sz="4" w:space="0" w:color="auto"/>
            </w:tcBorders>
            <w:shd w:val="clear" w:color="auto" w:fill="D5E2BB"/>
            <w:vAlign w:val="center"/>
          </w:tcPr>
          <w:p w14:paraId="135EDBC7" w14:textId="77777777" w:rsidR="00F56197" w:rsidRPr="00F56197" w:rsidRDefault="00F56197" w:rsidP="00AC0DED">
            <w:pPr>
              <w:pStyle w:val="TableParagraph"/>
              <w:spacing w:before="0"/>
              <w:rPr>
                <w:rFonts w:asciiTheme="minorHAnsi" w:hAnsiTheme="minorHAnsi" w:cstheme="minorHAnsi"/>
                <w:b/>
                <w:sz w:val="20"/>
                <w:szCs w:val="20"/>
              </w:rPr>
            </w:pPr>
          </w:p>
          <w:p w14:paraId="6B559D4E" w14:textId="61079EA8" w:rsidR="00F56197" w:rsidRPr="00F56197" w:rsidRDefault="00F56197" w:rsidP="00AC0DED">
            <w:pPr>
              <w:pStyle w:val="TableParagraph"/>
              <w:spacing w:before="1"/>
              <w:ind w:left="79" w:right="77"/>
              <w:rPr>
                <w:rFonts w:asciiTheme="minorHAnsi" w:hAnsiTheme="minorHAnsi" w:cstheme="minorHAnsi"/>
                <w:b/>
                <w:sz w:val="20"/>
                <w:szCs w:val="20"/>
              </w:rPr>
            </w:pPr>
            <w:r>
              <w:rPr>
                <w:rFonts w:asciiTheme="minorHAnsi" w:hAnsiTheme="minorHAnsi" w:cstheme="minorHAnsi"/>
                <w:b/>
                <w:sz w:val="20"/>
                <w:szCs w:val="20"/>
              </w:rPr>
              <w:t>P</w:t>
            </w:r>
            <w:r w:rsidRPr="00F56197">
              <w:rPr>
                <w:rFonts w:asciiTheme="minorHAnsi" w:hAnsiTheme="minorHAnsi" w:cstheme="minorHAnsi"/>
                <w:b/>
                <w:sz w:val="20"/>
                <w:szCs w:val="20"/>
              </w:rPr>
              <w:t>reservative</w:t>
            </w:r>
          </w:p>
        </w:tc>
      </w:tr>
      <w:tr w:rsidR="00F56197" w14:paraId="45FA6EF1" w14:textId="77777777" w:rsidTr="00F56197">
        <w:trPr>
          <w:trHeight w:hRule="exact" w:val="576"/>
          <w:jc w:val="center"/>
        </w:trPr>
        <w:tc>
          <w:tcPr>
            <w:tcW w:w="2973" w:type="dxa"/>
            <w:tcBorders>
              <w:top w:val="single" w:sz="4" w:space="0" w:color="auto"/>
              <w:left w:val="single" w:sz="4" w:space="0" w:color="auto"/>
              <w:bottom w:val="single" w:sz="4" w:space="0" w:color="auto"/>
              <w:right w:val="single" w:sz="4" w:space="0" w:color="auto"/>
            </w:tcBorders>
            <w:vAlign w:val="center"/>
            <w:hideMark/>
          </w:tcPr>
          <w:p w14:paraId="53F216C5" w14:textId="77777777" w:rsidR="00F56197" w:rsidRPr="00F56197" w:rsidRDefault="00F56197" w:rsidP="00AC0DED">
            <w:pPr>
              <w:pStyle w:val="TableParagraph"/>
              <w:spacing w:before="121"/>
              <w:rPr>
                <w:rFonts w:asciiTheme="minorHAnsi" w:hAnsiTheme="minorHAnsi" w:cstheme="minorHAnsi"/>
                <w:sz w:val="20"/>
                <w:szCs w:val="20"/>
              </w:rPr>
            </w:pPr>
            <w:r w:rsidRPr="00F56197">
              <w:rPr>
                <w:rFonts w:asciiTheme="minorHAnsi" w:hAnsiTheme="minorHAnsi" w:cstheme="minorHAnsi"/>
                <w:sz w:val="20"/>
                <w:szCs w:val="20"/>
              </w:rPr>
              <w:t>Total Persulfate Nitrogen (TPN)</w:t>
            </w:r>
          </w:p>
        </w:tc>
        <w:tc>
          <w:tcPr>
            <w:tcW w:w="1231" w:type="dxa"/>
            <w:tcBorders>
              <w:top w:val="single" w:sz="4" w:space="0" w:color="auto"/>
              <w:left w:val="single" w:sz="4" w:space="0" w:color="auto"/>
              <w:bottom w:val="single" w:sz="4" w:space="0" w:color="auto"/>
              <w:right w:val="single" w:sz="4" w:space="0" w:color="auto"/>
            </w:tcBorders>
            <w:vAlign w:val="center"/>
          </w:tcPr>
          <w:p w14:paraId="09606D38" w14:textId="77777777" w:rsidR="00F56197" w:rsidRPr="00F56197" w:rsidRDefault="00F56197" w:rsidP="00AC0DED">
            <w:pPr>
              <w:pStyle w:val="TableParagraph"/>
              <w:spacing w:before="12"/>
              <w:rPr>
                <w:rFonts w:asciiTheme="minorHAnsi" w:hAnsiTheme="minorHAnsi" w:cstheme="minorHAnsi"/>
                <w:b/>
                <w:sz w:val="20"/>
                <w:szCs w:val="20"/>
              </w:rPr>
            </w:pPr>
          </w:p>
          <w:p w14:paraId="534AB52A" w14:textId="77777777" w:rsidR="00F56197" w:rsidRPr="00F56197" w:rsidRDefault="00F56197" w:rsidP="00AC0DED">
            <w:pPr>
              <w:pStyle w:val="TableParagraph"/>
              <w:spacing w:before="0"/>
              <w:ind w:right="85"/>
              <w:rPr>
                <w:rFonts w:asciiTheme="minorHAnsi" w:hAnsiTheme="minorHAnsi" w:cstheme="minorHAnsi"/>
                <w:sz w:val="20"/>
                <w:szCs w:val="20"/>
              </w:rPr>
            </w:pPr>
            <w:r w:rsidRPr="00F56197">
              <w:rPr>
                <w:rFonts w:asciiTheme="minorHAnsi" w:hAnsiTheme="minorHAnsi" w:cstheme="minorHAnsi"/>
                <w:sz w:val="20"/>
                <w:szCs w:val="20"/>
              </w:rPr>
              <w:t>A4500-N C</w:t>
            </w:r>
          </w:p>
        </w:tc>
        <w:tc>
          <w:tcPr>
            <w:tcW w:w="1523" w:type="dxa"/>
            <w:tcBorders>
              <w:top w:val="single" w:sz="4" w:space="0" w:color="auto"/>
              <w:left w:val="single" w:sz="4" w:space="0" w:color="auto"/>
              <w:bottom w:val="single" w:sz="4" w:space="0" w:color="auto"/>
              <w:right w:val="single" w:sz="4" w:space="0" w:color="auto"/>
            </w:tcBorders>
            <w:vAlign w:val="center"/>
          </w:tcPr>
          <w:p w14:paraId="6126D36A" w14:textId="77777777" w:rsidR="00F56197" w:rsidRPr="00F56197" w:rsidRDefault="00F56197" w:rsidP="00E803CC">
            <w:pPr>
              <w:pStyle w:val="TableParagraph"/>
              <w:spacing w:before="0"/>
              <w:ind w:right="441"/>
              <w:rPr>
                <w:rFonts w:asciiTheme="minorHAnsi" w:hAnsiTheme="minorHAnsi" w:cstheme="minorHAnsi"/>
                <w:sz w:val="20"/>
                <w:szCs w:val="20"/>
              </w:rPr>
            </w:pPr>
            <w:r w:rsidRPr="00F56197">
              <w:rPr>
                <w:rFonts w:asciiTheme="minorHAnsi" w:hAnsiTheme="minorHAnsi" w:cstheme="minorHAnsi"/>
                <w:sz w:val="20"/>
                <w:szCs w:val="20"/>
              </w:rPr>
              <w:t>40</w:t>
            </w:r>
          </w:p>
        </w:tc>
        <w:tc>
          <w:tcPr>
            <w:tcW w:w="1041" w:type="dxa"/>
            <w:tcBorders>
              <w:top w:val="single" w:sz="4" w:space="0" w:color="auto"/>
              <w:left w:val="single" w:sz="4" w:space="0" w:color="auto"/>
              <w:bottom w:val="single" w:sz="4" w:space="0" w:color="auto"/>
              <w:right w:val="single" w:sz="4" w:space="0" w:color="auto"/>
            </w:tcBorders>
            <w:vAlign w:val="center"/>
          </w:tcPr>
          <w:p w14:paraId="18E2C5EB" w14:textId="381B17EE" w:rsidR="00F56197" w:rsidRPr="00F56197" w:rsidRDefault="00AC0DED" w:rsidP="00AC0DED">
            <w:pPr>
              <w:pStyle w:val="TableParagraph"/>
              <w:spacing w:before="0"/>
              <w:ind w:right="95"/>
              <w:rPr>
                <w:rFonts w:asciiTheme="minorHAnsi" w:hAnsiTheme="minorHAnsi" w:cstheme="minorHAnsi"/>
                <w:sz w:val="20"/>
                <w:szCs w:val="20"/>
              </w:rPr>
            </w:pPr>
            <w:r>
              <w:rPr>
                <w:rFonts w:asciiTheme="minorHAnsi" w:hAnsiTheme="minorHAnsi" w:cstheme="minorHAnsi"/>
                <w:sz w:val="20"/>
                <w:szCs w:val="20"/>
              </w:rPr>
              <w:t>28</w:t>
            </w:r>
          </w:p>
        </w:tc>
        <w:tc>
          <w:tcPr>
            <w:tcW w:w="1342" w:type="dxa"/>
            <w:tcBorders>
              <w:top w:val="single" w:sz="4" w:space="0" w:color="auto"/>
              <w:left w:val="single" w:sz="4" w:space="0" w:color="auto"/>
              <w:bottom w:val="single" w:sz="4" w:space="0" w:color="auto"/>
              <w:right w:val="single" w:sz="4" w:space="0" w:color="auto"/>
            </w:tcBorders>
            <w:vAlign w:val="center"/>
            <w:hideMark/>
          </w:tcPr>
          <w:p w14:paraId="4ECF818A" w14:textId="66B7B9D4" w:rsidR="00F56197" w:rsidRPr="00F56197" w:rsidRDefault="00F56197" w:rsidP="00AC0DED">
            <w:pPr>
              <w:pStyle w:val="TableParagraph"/>
              <w:spacing w:before="121"/>
              <w:rPr>
                <w:rFonts w:asciiTheme="minorHAnsi" w:hAnsiTheme="minorHAnsi" w:cstheme="minorHAnsi"/>
                <w:sz w:val="20"/>
                <w:szCs w:val="20"/>
              </w:rPr>
            </w:pPr>
            <w:r w:rsidRPr="00F56197">
              <w:rPr>
                <w:rFonts w:asciiTheme="minorHAnsi" w:hAnsiTheme="minorHAnsi" w:cstheme="minorHAnsi"/>
                <w:w w:val="95"/>
                <w:sz w:val="20"/>
                <w:szCs w:val="20"/>
              </w:rPr>
              <w:t>250</w:t>
            </w:r>
            <w:r w:rsidR="00081CFF">
              <w:rPr>
                <w:rFonts w:asciiTheme="minorHAnsi" w:hAnsiTheme="minorHAnsi" w:cstheme="minorHAnsi"/>
                <w:w w:val="95"/>
                <w:sz w:val="20"/>
                <w:szCs w:val="20"/>
              </w:rPr>
              <w:t xml:space="preserve"> </w:t>
            </w:r>
            <w:r w:rsidRPr="00F56197">
              <w:rPr>
                <w:rFonts w:asciiTheme="minorHAnsi" w:hAnsiTheme="minorHAnsi" w:cstheme="minorHAnsi"/>
                <w:w w:val="95"/>
                <w:sz w:val="20"/>
                <w:szCs w:val="20"/>
              </w:rPr>
              <w:t xml:space="preserve">ml </w:t>
            </w:r>
            <w:r w:rsidRPr="00F56197">
              <w:rPr>
                <w:rFonts w:asciiTheme="minorHAnsi" w:hAnsiTheme="minorHAnsi" w:cstheme="minorHAnsi"/>
                <w:sz w:val="20"/>
                <w:szCs w:val="20"/>
              </w:rPr>
              <w:t>HDPE</w:t>
            </w:r>
          </w:p>
        </w:tc>
        <w:tc>
          <w:tcPr>
            <w:tcW w:w="1485" w:type="dxa"/>
            <w:tcBorders>
              <w:top w:val="single" w:sz="4" w:space="0" w:color="auto"/>
              <w:left w:val="single" w:sz="4" w:space="0" w:color="auto"/>
              <w:bottom w:val="single" w:sz="4" w:space="0" w:color="auto"/>
              <w:right w:val="single" w:sz="4" w:space="0" w:color="auto"/>
            </w:tcBorders>
            <w:vAlign w:val="center"/>
            <w:hideMark/>
          </w:tcPr>
          <w:p w14:paraId="09A97BAE" w14:textId="49979CA6" w:rsidR="00F56197" w:rsidRPr="00F56197" w:rsidRDefault="00F56197" w:rsidP="00AC0DED">
            <w:pPr>
              <w:pStyle w:val="TableParagraph"/>
              <w:spacing w:before="0"/>
              <w:ind w:left="211" w:right="209" w:hanging="4"/>
              <w:rPr>
                <w:rFonts w:asciiTheme="minorHAnsi" w:hAnsiTheme="minorHAnsi" w:cstheme="minorHAnsi"/>
                <w:sz w:val="20"/>
                <w:szCs w:val="20"/>
              </w:rPr>
            </w:pPr>
            <w:r w:rsidRPr="00F56197">
              <w:rPr>
                <w:rFonts w:asciiTheme="minorHAnsi" w:hAnsiTheme="minorHAnsi" w:cstheme="minorHAnsi"/>
                <w:sz w:val="20"/>
                <w:szCs w:val="20"/>
              </w:rPr>
              <w:t>≤6</w:t>
            </w:r>
            <w:r w:rsidRPr="00AC0DED">
              <w:rPr>
                <w:rFonts w:asciiTheme="minorHAnsi" w:hAnsiTheme="minorHAnsi" w:cstheme="minorHAnsi"/>
                <w:position w:val="7"/>
                <w:sz w:val="20"/>
                <w:szCs w:val="20"/>
                <w:vertAlign w:val="superscript"/>
              </w:rPr>
              <w:t>o</w:t>
            </w:r>
            <w:r w:rsidRPr="00F56197">
              <w:rPr>
                <w:rFonts w:asciiTheme="minorHAnsi" w:hAnsiTheme="minorHAnsi" w:cstheme="minorHAnsi"/>
                <w:sz w:val="20"/>
                <w:szCs w:val="20"/>
              </w:rPr>
              <w:t>C</w:t>
            </w:r>
            <w:r w:rsidR="00AC0DED">
              <w:rPr>
                <w:rFonts w:asciiTheme="minorHAnsi" w:hAnsiTheme="minorHAnsi" w:cstheme="minorHAnsi"/>
                <w:sz w:val="20"/>
                <w:szCs w:val="20"/>
              </w:rPr>
              <w:t xml:space="preserve"> on ice</w:t>
            </w:r>
          </w:p>
        </w:tc>
      </w:tr>
      <w:tr w:rsidR="00F56197" w14:paraId="5896A564" w14:textId="77777777" w:rsidTr="00F56197">
        <w:trPr>
          <w:trHeight w:hRule="exact" w:val="576"/>
          <w:jc w:val="center"/>
        </w:trPr>
        <w:tc>
          <w:tcPr>
            <w:tcW w:w="2973" w:type="dxa"/>
            <w:tcBorders>
              <w:top w:val="single" w:sz="4" w:space="0" w:color="auto"/>
              <w:left w:val="single" w:sz="4" w:space="0" w:color="auto"/>
              <w:bottom w:val="single" w:sz="4" w:space="0" w:color="auto"/>
              <w:right w:val="single" w:sz="4" w:space="0" w:color="auto"/>
            </w:tcBorders>
            <w:vAlign w:val="center"/>
            <w:hideMark/>
          </w:tcPr>
          <w:p w14:paraId="337EFE40" w14:textId="77777777" w:rsidR="00F56197" w:rsidRPr="00F56197" w:rsidRDefault="00F56197" w:rsidP="00AC0DED">
            <w:pPr>
              <w:pStyle w:val="TableParagraph"/>
              <w:spacing w:before="18"/>
              <w:ind w:right="149"/>
              <w:rPr>
                <w:rFonts w:asciiTheme="minorHAnsi" w:hAnsiTheme="minorHAnsi" w:cstheme="minorHAnsi"/>
                <w:sz w:val="20"/>
                <w:szCs w:val="20"/>
              </w:rPr>
            </w:pPr>
            <w:r w:rsidRPr="00F56197">
              <w:rPr>
                <w:rFonts w:asciiTheme="minorHAnsi" w:hAnsiTheme="minorHAnsi" w:cstheme="minorHAnsi"/>
                <w:sz w:val="20"/>
                <w:szCs w:val="20"/>
              </w:rPr>
              <w:t>Total Phosphorus as P</w:t>
            </w:r>
          </w:p>
        </w:tc>
        <w:tc>
          <w:tcPr>
            <w:tcW w:w="1231" w:type="dxa"/>
            <w:tcBorders>
              <w:top w:val="single" w:sz="4" w:space="0" w:color="auto"/>
              <w:left w:val="single" w:sz="4" w:space="0" w:color="auto"/>
              <w:bottom w:val="single" w:sz="4" w:space="0" w:color="auto"/>
              <w:right w:val="single" w:sz="4" w:space="0" w:color="auto"/>
            </w:tcBorders>
            <w:vAlign w:val="center"/>
            <w:hideMark/>
          </w:tcPr>
          <w:p w14:paraId="29ECA9E7" w14:textId="77777777" w:rsidR="00F56197" w:rsidRPr="00F56197" w:rsidRDefault="00F56197" w:rsidP="00AC0DED">
            <w:pPr>
              <w:pStyle w:val="TableParagraph"/>
              <w:spacing w:before="141"/>
              <w:ind w:right="82"/>
              <w:rPr>
                <w:rFonts w:asciiTheme="minorHAnsi" w:hAnsiTheme="minorHAnsi" w:cstheme="minorHAnsi"/>
                <w:sz w:val="20"/>
                <w:szCs w:val="20"/>
              </w:rPr>
            </w:pPr>
            <w:r w:rsidRPr="00F56197">
              <w:rPr>
                <w:rFonts w:asciiTheme="minorHAnsi" w:hAnsiTheme="minorHAnsi" w:cstheme="minorHAnsi"/>
                <w:sz w:val="20"/>
                <w:szCs w:val="20"/>
              </w:rPr>
              <w:t>EPA 365.1</w:t>
            </w:r>
          </w:p>
        </w:tc>
        <w:tc>
          <w:tcPr>
            <w:tcW w:w="1523" w:type="dxa"/>
            <w:tcBorders>
              <w:top w:val="single" w:sz="4" w:space="0" w:color="auto"/>
              <w:left w:val="single" w:sz="4" w:space="0" w:color="auto"/>
              <w:bottom w:val="single" w:sz="4" w:space="0" w:color="auto"/>
              <w:right w:val="single" w:sz="4" w:space="0" w:color="auto"/>
            </w:tcBorders>
            <w:vAlign w:val="center"/>
            <w:hideMark/>
          </w:tcPr>
          <w:p w14:paraId="409C7C2D" w14:textId="13F1BF90" w:rsidR="00F56197" w:rsidRPr="00F56197" w:rsidRDefault="00E803CC" w:rsidP="00E803CC">
            <w:pPr>
              <w:pStyle w:val="TableParagraph"/>
              <w:spacing w:before="141"/>
              <w:rPr>
                <w:rFonts w:asciiTheme="minorHAnsi" w:hAnsiTheme="minorHAnsi" w:cstheme="minorHAnsi"/>
                <w:sz w:val="20"/>
                <w:szCs w:val="20"/>
              </w:rPr>
            </w:pPr>
            <w:r>
              <w:rPr>
                <w:rFonts w:asciiTheme="minorHAnsi" w:hAnsiTheme="minorHAnsi" w:cstheme="minorHAnsi"/>
                <w:w w:val="99"/>
                <w:sz w:val="20"/>
                <w:szCs w:val="20"/>
              </w:rPr>
              <w:t>3</w:t>
            </w:r>
          </w:p>
        </w:tc>
        <w:tc>
          <w:tcPr>
            <w:tcW w:w="1041" w:type="dxa"/>
            <w:vMerge w:val="restart"/>
            <w:tcBorders>
              <w:top w:val="single" w:sz="4" w:space="0" w:color="auto"/>
              <w:left w:val="single" w:sz="4" w:space="0" w:color="auto"/>
              <w:bottom w:val="single" w:sz="4" w:space="0" w:color="auto"/>
              <w:right w:val="single" w:sz="4" w:space="0" w:color="auto"/>
            </w:tcBorders>
            <w:vAlign w:val="center"/>
          </w:tcPr>
          <w:p w14:paraId="70AECE82" w14:textId="77777777" w:rsidR="00F56197" w:rsidRPr="00F56197" w:rsidRDefault="00F56197" w:rsidP="00AC0DED">
            <w:pPr>
              <w:pStyle w:val="TableParagraph"/>
              <w:spacing w:before="0"/>
              <w:ind w:right="95"/>
              <w:rPr>
                <w:rFonts w:asciiTheme="minorHAnsi" w:hAnsiTheme="minorHAnsi" w:cstheme="minorHAnsi"/>
                <w:sz w:val="20"/>
                <w:szCs w:val="20"/>
              </w:rPr>
            </w:pPr>
            <w:r w:rsidRPr="00F56197">
              <w:rPr>
                <w:rFonts w:asciiTheme="minorHAnsi" w:hAnsiTheme="minorHAnsi" w:cstheme="minorHAnsi"/>
                <w:sz w:val="20"/>
                <w:szCs w:val="20"/>
              </w:rPr>
              <w:t>28</w:t>
            </w:r>
          </w:p>
        </w:tc>
        <w:tc>
          <w:tcPr>
            <w:tcW w:w="1342" w:type="dxa"/>
            <w:vMerge w:val="restart"/>
            <w:tcBorders>
              <w:top w:val="single" w:sz="4" w:space="0" w:color="auto"/>
              <w:left w:val="single" w:sz="4" w:space="0" w:color="auto"/>
              <w:bottom w:val="single" w:sz="4" w:space="0" w:color="auto"/>
              <w:right w:val="single" w:sz="4" w:space="0" w:color="auto"/>
            </w:tcBorders>
            <w:vAlign w:val="center"/>
          </w:tcPr>
          <w:p w14:paraId="322E431E" w14:textId="77777777" w:rsidR="00F56197" w:rsidRPr="00F56197" w:rsidRDefault="00F56197" w:rsidP="00AC0DED">
            <w:pPr>
              <w:pStyle w:val="TableParagraph"/>
              <w:spacing w:before="161"/>
              <w:ind w:right="287"/>
              <w:rPr>
                <w:rFonts w:asciiTheme="minorHAnsi" w:hAnsiTheme="minorHAnsi" w:cstheme="minorHAnsi"/>
                <w:sz w:val="20"/>
                <w:szCs w:val="20"/>
              </w:rPr>
            </w:pPr>
            <w:r w:rsidRPr="00F56197">
              <w:rPr>
                <w:rFonts w:asciiTheme="minorHAnsi" w:hAnsiTheme="minorHAnsi" w:cstheme="minorHAnsi"/>
                <w:sz w:val="20"/>
                <w:szCs w:val="20"/>
              </w:rPr>
              <w:t>250 ml HDPE</w:t>
            </w:r>
          </w:p>
        </w:tc>
        <w:tc>
          <w:tcPr>
            <w:tcW w:w="1485" w:type="dxa"/>
            <w:vMerge w:val="restart"/>
            <w:tcBorders>
              <w:top w:val="single" w:sz="4" w:space="0" w:color="auto"/>
              <w:left w:val="single" w:sz="4" w:space="0" w:color="auto"/>
              <w:bottom w:val="single" w:sz="4" w:space="0" w:color="auto"/>
              <w:right w:val="single" w:sz="4" w:space="0" w:color="auto"/>
            </w:tcBorders>
            <w:vAlign w:val="center"/>
          </w:tcPr>
          <w:p w14:paraId="33D19E5B" w14:textId="77777777" w:rsidR="00F56197" w:rsidRPr="00F56197" w:rsidRDefault="00F56197" w:rsidP="00AC0DED">
            <w:pPr>
              <w:pStyle w:val="TableParagraph"/>
              <w:spacing w:before="0"/>
              <w:rPr>
                <w:rFonts w:asciiTheme="minorHAnsi" w:hAnsiTheme="minorHAnsi" w:cstheme="minorHAnsi"/>
                <w:b/>
                <w:sz w:val="20"/>
                <w:szCs w:val="20"/>
              </w:rPr>
            </w:pPr>
          </w:p>
          <w:p w14:paraId="0BB4D557" w14:textId="77777777" w:rsidR="00F56197" w:rsidRPr="00F56197" w:rsidRDefault="00F56197" w:rsidP="00AC0DED">
            <w:pPr>
              <w:pStyle w:val="TableParagraph"/>
              <w:spacing w:before="11"/>
              <w:rPr>
                <w:rFonts w:asciiTheme="minorHAnsi" w:hAnsiTheme="minorHAnsi" w:cstheme="minorHAnsi"/>
                <w:b/>
                <w:sz w:val="20"/>
                <w:szCs w:val="20"/>
              </w:rPr>
            </w:pPr>
          </w:p>
          <w:p w14:paraId="33691AA3" w14:textId="491FE5B9" w:rsidR="00F56197" w:rsidRPr="00F56197" w:rsidRDefault="00F56197" w:rsidP="00AC0DED">
            <w:pPr>
              <w:pStyle w:val="TableParagraph"/>
              <w:spacing w:before="0" w:line="247" w:lineRule="exact"/>
              <w:ind w:left="76" w:right="77"/>
              <w:rPr>
                <w:rFonts w:asciiTheme="minorHAnsi" w:hAnsiTheme="minorHAnsi" w:cstheme="minorHAnsi"/>
                <w:sz w:val="20"/>
                <w:szCs w:val="20"/>
              </w:rPr>
            </w:pPr>
            <w:r w:rsidRPr="00F56197">
              <w:rPr>
                <w:rFonts w:asciiTheme="minorHAnsi" w:hAnsiTheme="minorHAnsi" w:cstheme="minorHAnsi"/>
                <w:position w:val="1"/>
                <w:sz w:val="20"/>
                <w:szCs w:val="20"/>
              </w:rPr>
              <w:t>H</w:t>
            </w:r>
            <w:r w:rsidRPr="00F4144D">
              <w:rPr>
                <w:rFonts w:asciiTheme="minorHAnsi" w:hAnsiTheme="minorHAnsi" w:cstheme="minorHAnsi"/>
                <w:sz w:val="20"/>
                <w:szCs w:val="20"/>
                <w:vertAlign w:val="subscript"/>
              </w:rPr>
              <w:t>2</w:t>
            </w:r>
            <w:r w:rsidRPr="00F56197">
              <w:rPr>
                <w:rFonts w:asciiTheme="minorHAnsi" w:hAnsiTheme="minorHAnsi" w:cstheme="minorHAnsi"/>
                <w:position w:val="1"/>
                <w:sz w:val="20"/>
                <w:szCs w:val="20"/>
              </w:rPr>
              <w:t>SO</w:t>
            </w:r>
            <w:proofErr w:type="gramStart"/>
            <w:r w:rsidRPr="00F4144D">
              <w:rPr>
                <w:rFonts w:asciiTheme="minorHAnsi" w:hAnsiTheme="minorHAnsi" w:cstheme="minorHAnsi"/>
                <w:sz w:val="20"/>
                <w:szCs w:val="20"/>
                <w:vertAlign w:val="subscript"/>
              </w:rPr>
              <w:t>4</w:t>
            </w:r>
            <w:r w:rsidRPr="00F56197">
              <w:rPr>
                <w:rFonts w:asciiTheme="minorHAnsi" w:hAnsiTheme="minorHAnsi" w:cstheme="minorHAnsi"/>
                <w:sz w:val="20"/>
                <w:szCs w:val="20"/>
              </w:rPr>
              <w:t xml:space="preserve"> </w:t>
            </w:r>
            <w:r w:rsidRPr="00F56197">
              <w:rPr>
                <w:rFonts w:asciiTheme="minorHAnsi" w:hAnsiTheme="minorHAnsi" w:cstheme="minorHAnsi"/>
                <w:position w:val="1"/>
                <w:sz w:val="20"/>
                <w:szCs w:val="20"/>
              </w:rPr>
              <w:t>,</w:t>
            </w:r>
            <w:proofErr w:type="gramEnd"/>
            <w:r w:rsidRPr="00F56197">
              <w:rPr>
                <w:rFonts w:asciiTheme="minorHAnsi" w:hAnsiTheme="minorHAnsi" w:cstheme="minorHAnsi"/>
                <w:position w:val="1"/>
                <w:sz w:val="20"/>
                <w:szCs w:val="20"/>
              </w:rPr>
              <w:t xml:space="preserve"> ≤6</w:t>
            </w:r>
            <w:r w:rsidRPr="00F56197">
              <w:rPr>
                <w:rFonts w:asciiTheme="minorHAnsi" w:hAnsiTheme="minorHAnsi" w:cstheme="minorHAnsi"/>
                <w:position w:val="8"/>
                <w:sz w:val="20"/>
                <w:szCs w:val="20"/>
              </w:rPr>
              <w:t>o</w:t>
            </w:r>
            <w:r w:rsidRPr="00F56197">
              <w:rPr>
                <w:rFonts w:asciiTheme="minorHAnsi" w:hAnsiTheme="minorHAnsi" w:cstheme="minorHAnsi"/>
                <w:position w:val="1"/>
                <w:sz w:val="20"/>
                <w:szCs w:val="20"/>
              </w:rPr>
              <w:t>C</w:t>
            </w:r>
            <w:r w:rsidR="00DF34F8">
              <w:rPr>
                <w:rFonts w:asciiTheme="minorHAnsi" w:hAnsiTheme="minorHAnsi" w:cstheme="minorHAnsi"/>
                <w:position w:val="1"/>
                <w:sz w:val="20"/>
                <w:szCs w:val="20"/>
              </w:rPr>
              <w:t xml:space="preserve"> on ice</w:t>
            </w:r>
          </w:p>
          <w:p w14:paraId="622FA33F" w14:textId="77777777" w:rsidR="00F56197" w:rsidRPr="00F56197" w:rsidRDefault="00F56197" w:rsidP="00AC0DED">
            <w:pPr>
              <w:pStyle w:val="TableParagraph"/>
              <w:spacing w:before="0" w:line="243" w:lineRule="exact"/>
              <w:ind w:left="77" w:right="77"/>
              <w:rPr>
                <w:rFonts w:asciiTheme="minorHAnsi" w:hAnsiTheme="minorHAnsi" w:cstheme="minorHAnsi"/>
                <w:sz w:val="20"/>
                <w:szCs w:val="20"/>
              </w:rPr>
            </w:pPr>
          </w:p>
        </w:tc>
      </w:tr>
      <w:tr w:rsidR="00F56197" w14:paraId="11DEA21D" w14:textId="77777777" w:rsidTr="00F56197">
        <w:trPr>
          <w:trHeight w:hRule="exact" w:val="576"/>
          <w:jc w:val="center"/>
        </w:trPr>
        <w:tc>
          <w:tcPr>
            <w:tcW w:w="2973" w:type="dxa"/>
            <w:tcBorders>
              <w:top w:val="single" w:sz="4" w:space="0" w:color="auto"/>
              <w:left w:val="single" w:sz="4" w:space="0" w:color="auto"/>
              <w:bottom w:val="single" w:sz="4" w:space="0" w:color="auto"/>
              <w:right w:val="single" w:sz="4" w:space="0" w:color="auto"/>
            </w:tcBorders>
            <w:vAlign w:val="center"/>
            <w:hideMark/>
          </w:tcPr>
          <w:p w14:paraId="2653D0AF" w14:textId="77777777" w:rsidR="00F56197" w:rsidRPr="00F56197" w:rsidRDefault="00F56197" w:rsidP="00AC0DED">
            <w:pPr>
              <w:pStyle w:val="TableParagraph"/>
              <w:spacing w:before="140"/>
              <w:ind w:right="149"/>
              <w:rPr>
                <w:rFonts w:asciiTheme="minorHAnsi" w:hAnsiTheme="minorHAnsi" w:cstheme="minorHAnsi"/>
                <w:sz w:val="20"/>
                <w:szCs w:val="20"/>
              </w:rPr>
            </w:pPr>
            <w:r w:rsidRPr="00F56197">
              <w:rPr>
                <w:rFonts w:asciiTheme="minorHAnsi" w:hAnsiTheme="minorHAnsi" w:cstheme="minorHAnsi"/>
                <w:sz w:val="20"/>
                <w:szCs w:val="20"/>
              </w:rPr>
              <w:t>Nitrate-Nitrite as N</w:t>
            </w:r>
          </w:p>
        </w:tc>
        <w:tc>
          <w:tcPr>
            <w:tcW w:w="1231" w:type="dxa"/>
            <w:tcBorders>
              <w:top w:val="single" w:sz="4" w:space="0" w:color="auto"/>
              <w:left w:val="single" w:sz="4" w:space="0" w:color="auto"/>
              <w:bottom w:val="single" w:sz="4" w:space="0" w:color="auto"/>
              <w:right w:val="single" w:sz="4" w:space="0" w:color="auto"/>
            </w:tcBorders>
            <w:vAlign w:val="center"/>
            <w:hideMark/>
          </w:tcPr>
          <w:p w14:paraId="78799DDE" w14:textId="77777777" w:rsidR="00F56197" w:rsidRPr="00F56197" w:rsidRDefault="00F56197" w:rsidP="00AC0DED">
            <w:pPr>
              <w:pStyle w:val="TableParagraph"/>
              <w:spacing w:before="140"/>
              <w:ind w:right="82"/>
              <w:rPr>
                <w:rFonts w:asciiTheme="minorHAnsi" w:hAnsiTheme="minorHAnsi" w:cstheme="minorHAnsi"/>
                <w:sz w:val="20"/>
                <w:szCs w:val="20"/>
              </w:rPr>
            </w:pPr>
            <w:r w:rsidRPr="00F56197">
              <w:rPr>
                <w:rFonts w:asciiTheme="minorHAnsi" w:hAnsiTheme="minorHAnsi" w:cstheme="minorHAnsi"/>
                <w:sz w:val="20"/>
                <w:szCs w:val="20"/>
              </w:rPr>
              <w:t>EPA 353.2</w:t>
            </w:r>
          </w:p>
        </w:tc>
        <w:tc>
          <w:tcPr>
            <w:tcW w:w="1523" w:type="dxa"/>
            <w:tcBorders>
              <w:top w:val="single" w:sz="4" w:space="0" w:color="auto"/>
              <w:left w:val="single" w:sz="4" w:space="0" w:color="auto"/>
              <w:bottom w:val="single" w:sz="4" w:space="0" w:color="auto"/>
              <w:right w:val="single" w:sz="4" w:space="0" w:color="auto"/>
            </w:tcBorders>
            <w:vAlign w:val="center"/>
            <w:hideMark/>
          </w:tcPr>
          <w:p w14:paraId="58B68131" w14:textId="77777777" w:rsidR="00F56197" w:rsidRPr="00F56197" w:rsidRDefault="00F56197" w:rsidP="00E803CC">
            <w:pPr>
              <w:pStyle w:val="TableParagraph"/>
              <w:spacing w:before="140"/>
              <w:ind w:right="441"/>
              <w:rPr>
                <w:rFonts w:asciiTheme="minorHAnsi" w:hAnsiTheme="minorHAnsi" w:cstheme="minorHAnsi"/>
                <w:sz w:val="20"/>
                <w:szCs w:val="20"/>
              </w:rPr>
            </w:pPr>
            <w:r w:rsidRPr="00F56197">
              <w:rPr>
                <w:rFonts w:asciiTheme="minorHAnsi" w:hAnsiTheme="minorHAnsi" w:cstheme="minorHAnsi"/>
                <w:sz w:val="20"/>
                <w:szCs w:val="20"/>
              </w:rPr>
              <w:t>10</w:t>
            </w:r>
          </w:p>
        </w:tc>
        <w:tc>
          <w:tcPr>
            <w:tcW w:w="1041" w:type="dxa"/>
            <w:vMerge/>
            <w:tcBorders>
              <w:top w:val="single" w:sz="4" w:space="0" w:color="auto"/>
              <w:left w:val="single" w:sz="4" w:space="0" w:color="auto"/>
              <w:bottom w:val="single" w:sz="4" w:space="0" w:color="auto"/>
              <w:right w:val="single" w:sz="4" w:space="0" w:color="auto"/>
            </w:tcBorders>
            <w:vAlign w:val="center"/>
            <w:hideMark/>
          </w:tcPr>
          <w:p w14:paraId="6C870DBD" w14:textId="77777777" w:rsidR="00F56197" w:rsidRPr="00F56197" w:rsidRDefault="00F56197" w:rsidP="00AC0DED">
            <w:pPr>
              <w:jc w:val="center"/>
              <w:rPr>
                <w:rFonts w:eastAsia="Calibri" w:cstheme="minorHAnsi"/>
                <w:sz w:val="20"/>
              </w:rPr>
            </w:pPr>
          </w:p>
        </w:tc>
        <w:tc>
          <w:tcPr>
            <w:tcW w:w="1342" w:type="dxa"/>
            <w:vMerge/>
            <w:tcBorders>
              <w:top w:val="single" w:sz="4" w:space="0" w:color="auto"/>
              <w:left w:val="single" w:sz="4" w:space="0" w:color="auto"/>
              <w:bottom w:val="single" w:sz="4" w:space="0" w:color="auto"/>
              <w:right w:val="single" w:sz="4" w:space="0" w:color="auto"/>
            </w:tcBorders>
            <w:vAlign w:val="center"/>
            <w:hideMark/>
          </w:tcPr>
          <w:p w14:paraId="1426FCCE" w14:textId="77777777" w:rsidR="00F56197" w:rsidRPr="00F56197" w:rsidRDefault="00F56197" w:rsidP="00AC0DED">
            <w:pPr>
              <w:jc w:val="center"/>
              <w:rPr>
                <w:rFonts w:eastAsia="Calibri" w:cstheme="minorHAnsi"/>
                <w:sz w:val="20"/>
              </w:rPr>
            </w:pPr>
          </w:p>
        </w:tc>
        <w:tc>
          <w:tcPr>
            <w:tcW w:w="1485" w:type="dxa"/>
            <w:vMerge/>
            <w:tcBorders>
              <w:top w:val="single" w:sz="4" w:space="0" w:color="auto"/>
              <w:left w:val="single" w:sz="4" w:space="0" w:color="auto"/>
              <w:bottom w:val="single" w:sz="4" w:space="0" w:color="auto"/>
              <w:right w:val="single" w:sz="4" w:space="0" w:color="auto"/>
            </w:tcBorders>
            <w:vAlign w:val="center"/>
            <w:hideMark/>
          </w:tcPr>
          <w:p w14:paraId="36BD291A" w14:textId="77777777" w:rsidR="00F56197" w:rsidRPr="00F56197" w:rsidRDefault="00F56197" w:rsidP="00AC0DED">
            <w:pPr>
              <w:jc w:val="center"/>
              <w:rPr>
                <w:rFonts w:eastAsia="Calibri" w:cstheme="minorHAnsi"/>
                <w:sz w:val="20"/>
              </w:rPr>
            </w:pPr>
          </w:p>
        </w:tc>
      </w:tr>
      <w:tr w:rsidR="00F56197" w14:paraId="7C3DF6B3" w14:textId="77777777" w:rsidTr="00F56197">
        <w:trPr>
          <w:trHeight w:hRule="exact" w:val="576"/>
          <w:jc w:val="center"/>
        </w:trPr>
        <w:tc>
          <w:tcPr>
            <w:tcW w:w="2973" w:type="dxa"/>
            <w:tcBorders>
              <w:top w:val="single" w:sz="4" w:space="0" w:color="auto"/>
              <w:left w:val="single" w:sz="4" w:space="0" w:color="auto"/>
              <w:bottom w:val="single" w:sz="4" w:space="0" w:color="auto"/>
              <w:right w:val="single" w:sz="4" w:space="0" w:color="auto"/>
            </w:tcBorders>
            <w:vAlign w:val="center"/>
          </w:tcPr>
          <w:p w14:paraId="3E6A705D" w14:textId="77777777" w:rsidR="00F56197" w:rsidRPr="00F56197" w:rsidRDefault="00F56197" w:rsidP="00AC0DED">
            <w:pPr>
              <w:pStyle w:val="TableParagraph"/>
              <w:spacing w:before="0"/>
              <w:ind w:right="149"/>
              <w:rPr>
                <w:rFonts w:asciiTheme="minorHAnsi" w:hAnsiTheme="minorHAnsi" w:cstheme="minorHAnsi"/>
                <w:sz w:val="20"/>
                <w:szCs w:val="20"/>
              </w:rPr>
            </w:pPr>
            <w:r w:rsidRPr="00F56197">
              <w:rPr>
                <w:rFonts w:asciiTheme="minorHAnsi" w:hAnsiTheme="minorHAnsi" w:cstheme="minorHAnsi"/>
                <w:sz w:val="20"/>
                <w:szCs w:val="20"/>
              </w:rPr>
              <w:t>Total Ammonia as N</w:t>
            </w:r>
          </w:p>
        </w:tc>
        <w:tc>
          <w:tcPr>
            <w:tcW w:w="1231" w:type="dxa"/>
            <w:tcBorders>
              <w:top w:val="single" w:sz="4" w:space="0" w:color="auto"/>
              <w:left w:val="single" w:sz="4" w:space="0" w:color="auto"/>
              <w:bottom w:val="single" w:sz="4" w:space="0" w:color="auto"/>
              <w:right w:val="single" w:sz="4" w:space="0" w:color="auto"/>
            </w:tcBorders>
            <w:vAlign w:val="center"/>
          </w:tcPr>
          <w:p w14:paraId="14656326" w14:textId="77777777" w:rsidR="00F56197" w:rsidRPr="00F56197" w:rsidRDefault="00F56197" w:rsidP="00AC0DED">
            <w:pPr>
              <w:pStyle w:val="TableParagraph"/>
              <w:spacing w:before="7"/>
              <w:rPr>
                <w:rFonts w:asciiTheme="minorHAnsi" w:hAnsiTheme="minorHAnsi" w:cstheme="minorHAnsi"/>
                <w:b/>
                <w:sz w:val="20"/>
                <w:szCs w:val="20"/>
              </w:rPr>
            </w:pPr>
          </w:p>
          <w:p w14:paraId="10996799" w14:textId="77777777" w:rsidR="00F56197" w:rsidRPr="00F56197" w:rsidRDefault="00F56197" w:rsidP="00AC0DED">
            <w:pPr>
              <w:pStyle w:val="TableParagraph"/>
              <w:spacing w:before="0"/>
              <w:ind w:right="82"/>
              <w:rPr>
                <w:rFonts w:asciiTheme="minorHAnsi" w:hAnsiTheme="minorHAnsi" w:cstheme="minorHAnsi"/>
                <w:sz w:val="20"/>
                <w:szCs w:val="20"/>
              </w:rPr>
            </w:pPr>
            <w:r w:rsidRPr="00F56197">
              <w:rPr>
                <w:rFonts w:asciiTheme="minorHAnsi" w:hAnsiTheme="minorHAnsi" w:cstheme="minorHAnsi"/>
                <w:sz w:val="20"/>
                <w:szCs w:val="20"/>
              </w:rPr>
              <w:t>EPA 350.1</w:t>
            </w:r>
          </w:p>
        </w:tc>
        <w:tc>
          <w:tcPr>
            <w:tcW w:w="1523" w:type="dxa"/>
            <w:tcBorders>
              <w:top w:val="single" w:sz="4" w:space="0" w:color="auto"/>
              <w:left w:val="single" w:sz="4" w:space="0" w:color="auto"/>
              <w:bottom w:val="single" w:sz="4" w:space="0" w:color="auto"/>
              <w:right w:val="single" w:sz="4" w:space="0" w:color="auto"/>
            </w:tcBorders>
            <w:vAlign w:val="center"/>
          </w:tcPr>
          <w:p w14:paraId="5A9F979F" w14:textId="77777777" w:rsidR="00F56197" w:rsidRPr="00F56197" w:rsidRDefault="00F56197" w:rsidP="00E803CC">
            <w:pPr>
              <w:pStyle w:val="TableParagraph"/>
              <w:spacing w:before="0"/>
              <w:ind w:right="441"/>
              <w:rPr>
                <w:rFonts w:asciiTheme="minorHAnsi" w:hAnsiTheme="minorHAnsi" w:cstheme="minorHAnsi"/>
                <w:sz w:val="20"/>
                <w:szCs w:val="20"/>
              </w:rPr>
            </w:pPr>
            <w:r w:rsidRPr="00F56197">
              <w:rPr>
                <w:rFonts w:asciiTheme="minorHAnsi" w:hAnsiTheme="minorHAnsi" w:cstheme="minorHAnsi"/>
                <w:sz w:val="20"/>
                <w:szCs w:val="20"/>
              </w:rPr>
              <w:t>50</w:t>
            </w:r>
          </w:p>
        </w:tc>
        <w:tc>
          <w:tcPr>
            <w:tcW w:w="1041" w:type="dxa"/>
            <w:vMerge/>
            <w:tcBorders>
              <w:top w:val="single" w:sz="4" w:space="0" w:color="auto"/>
              <w:left w:val="single" w:sz="4" w:space="0" w:color="auto"/>
              <w:bottom w:val="single" w:sz="4" w:space="0" w:color="auto"/>
              <w:right w:val="single" w:sz="4" w:space="0" w:color="auto"/>
            </w:tcBorders>
            <w:vAlign w:val="center"/>
            <w:hideMark/>
          </w:tcPr>
          <w:p w14:paraId="3788A633" w14:textId="77777777" w:rsidR="00F56197" w:rsidRPr="00F56197" w:rsidRDefault="00F56197" w:rsidP="00AC0DED">
            <w:pPr>
              <w:jc w:val="center"/>
              <w:rPr>
                <w:rFonts w:eastAsia="Calibri" w:cstheme="minorHAnsi"/>
                <w:sz w:val="20"/>
              </w:rPr>
            </w:pPr>
          </w:p>
        </w:tc>
        <w:tc>
          <w:tcPr>
            <w:tcW w:w="1342" w:type="dxa"/>
            <w:vMerge/>
            <w:tcBorders>
              <w:top w:val="single" w:sz="4" w:space="0" w:color="auto"/>
              <w:left w:val="single" w:sz="4" w:space="0" w:color="auto"/>
              <w:bottom w:val="single" w:sz="4" w:space="0" w:color="auto"/>
              <w:right w:val="single" w:sz="4" w:space="0" w:color="auto"/>
            </w:tcBorders>
            <w:vAlign w:val="center"/>
            <w:hideMark/>
          </w:tcPr>
          <w:p w14:paraId="105CBA89" w14:textId="77777777" w:rsidR="00F56197" w:rsidRPr="00F56197" w:rsidRDefault="00F56197" w:rsidP="00AC0DED">
            <w:pPr>
              <w:jc w:val="center"/>
              <w:rPr>
                <w:rFonts w:eastAsia="Calibri" w:cstheme="minorHAnsi"/>
                <w:sz w:val="20"/>
              </w:rPr>
            </w:pPr>
          </w:p>
        </w:tc>
        <w:tc>
          <w:tcPr>
            <w:tcW w:w="1485" w:type="dxa"/>
            <w:vMerge/>
            <w:tcBorders>
              <w:top w:val="single" w:sz="4" w:space="0" w:color="auto"/>
              <w:left w:val="single" w:sz="4" w:space="0" w:color="auto"/>
              <w:bottom w:val="single" w:sz="4" w:space="0" w:color="auto"/>
              <w:right w:val="single" w:sz="4" w:space="0" w:color="auto"/>
            </w:tcBorders>
            <w:vAlign w:val="center"/>
            <w:hideMark/>
          </w:tcPr>
          <w:p w14:paraId="506CE299" w14:textId="77777777" w:rsidR="00F56197" w:rsidRPr="00F56197" w:rsidRDefault="00F56197" w:rsidP="00AC0DED">
            <w:pPr>
              <w:jc w:val="center"/>
              <w:rPr>
                <w:rFonts w:eastAsia="Calibri" w:cstheme="minorHAnsi"/>
                <w:sz w:val="20"/>
              </w:rPr>
            </w:pPr>
          </w:p>
        </w:tc>
      </w:tr>
      <w:tr w:rsidR="00AC0DED" w14:paraId="3DB20FF0" w14:textId="77777777" w:rsidTr="00AC0DED">
        <w:trPr>
          <w:trHeight w:hRule="exact" w:val="969"/>
          <w:jc w:val="center"/>
        </w:trPr>
        <w:tc>
          <w:tcPr>
            <w:tcW w:w="2973" w:type="dxa"/>
            <w:tcBorders>
              <w:top w:val="single" w:sz="4" w:space="0" w:color="auto"/>
              <w:left w:val="single" w:sz="4" w:space="0" w:color="auto"/>
              <w:bottom w:val="single" w:sz="4" w:space="0" w:color="auto"/>
              <w:right w:val="single" w:sz="4" w:space="0" w:color="auto"/>
            </w:tcBorders>
            <w:vAlign w:val="center"/>
          </w:tcPr>
          <w:p w14:paraId="50F54747" w14:textId="1CD24724" w:rsidR="00AC0DED" w:rsidRPr="00F56197" w:rsidRDefault="00AC0DED" w:rsidP="00AC0DED">
            <w:pPr>
              <w:pStyle w:val="TableParagraph"/>
              <w:spacing w:before="7"/>
              <w:rPr>
                <w:rFonts w:asciiTheme="minorHAnsi" w:hAnsiTheme="minorHAnsi" w:cstheme="minorHAnsi"/>
                <w:sz w:val="20"/>
                <w:szCs w:val="20"/>
              </w:rPr>
            </w:pPr>
            <w:r>
              <w:rPr>
                <w:rFonts w:asciiTheme="minorHAnsi" w:hAnsiTheme="minorHAnsi" w:cstheme="minorHAnsi"/>
                <w:sz w:val="20"/>
                <w:szCs w:val="20"/>
              </w:rPr>
              <w:t>Dissolved Orthophosphate</w:t>
            </w:r>
          </w:p>
        </w:tc>
        <w:tc>
          <w:tcPr>
            <w:tcW w:w="1231" w:type="dxa"/>
            <w:tcBorders>
              <w:top w:val="single" w:sz="4" w:space="0" w:color="auto"/>
              <w:left w:val="single" w:sz="4" w:space="0" w:color="auto"/>
              <w:bottom w:val="single" w:sz="4" w:space="0" w:color="auto"/>
              <w:right w:val="single" w:sz="4" w:space="0" w:color="auto"/>
            </w:tcBorders>
            <w:vAlign w:val="center"/>
          </w:tcPr>
          <w:p w14:paraId="6CBC3D9D" w14:textId="07E5CC10" w:rsidR="00AC0DED" w:rsidRPr="00F56197" w:rsidRDefault="00AC0DED" w:rsidP="00AC0DED">
            <w:pPr>
              <w:pStyle w:val="TableParagraph"/>
              <w:spacing w:before="7"/>
              <w:rPr>
                <w:rFonts w:asciiTheme="minorHAnsi" w:hAnsiTheme="minorHAnsi" w:cstheme="minorHAnsi"/>
                <w:sz w:val="20"/>
                <w:szCs w:val="20"/>
              </w:rPr>
            </w:pPr>
            <w:r>
              <w:rPr>
                <w:rFonts w:asciiTheme="minorHAnsi" w:hAnsiTheme="minorHAnsi" w:cstheme="minorHAnsi"/>
                <w:sz w:val="20"/>
                <w:szCs w:val="20"/>
              </w:rPr>
              <w:t>EPA 365.1</w:t>
            </w:r>
          </w:p>
        </w:tc>
        <w:tc>
          <w:tcPr>
            <w:tcW w:w="1523" w:type="dxa"/>
            <w:tcBorders>
              <w:top w:val="single" w:sz="4" w:space="0" w:color="auto"/>
              <w:left w:val="single" w:sz="4" w:space="0" w:color="auto"/>
              <w:bottom w:val="single" w:sz="4" w:space="0" w:color="auto"/>
              <w:right w:val="single" w:sz="4" w:space="0" w:color="auto"/>
            </w:tcBorders>
            <w:vAlign w:val="center"/>
          </w:tcPr>
          <w:p w14:paraId="0C94B38A" w14:textId="3EA6E7DF" w:rsidR="00AC0DED" w:rsidRPr="00F56197" w:rsidRDefault="00AC0DED" w:rsidP="00E803CC">
            <w:pPr>
              <w:pStyle w:val="TableParagraph"/>
              <w:spacing w:before="7"/>
              <w:rPr>
                <w:rFonts w:asciiTheme="minorHAnsi" w:hAnsiTheme="minorHAnsi" w:cstheme="minorHAnsi"/>
                <w:sz w:val="20"/>
                <w:szCs w:val="20"/>
              </w:rPr>
            </w:pPr>
            <w:r>
              <w:rPr>
                <w:rFonts w:asciiTheme="minorHAnsi" w:hAnsiTheme="minorHAnsi" w:cstheme="minorHAnsi"/>
                <w:sz w:val="20"/>
                <w:szCs w:val="20"/>
              </w:rPr>
              <w:t>1</w:t>
            </w:r>
          </w:p>
        </w:tc>
        <w:tc>
          <w:tcPr>
            <w:tcW w:w="1041" w:type="dxa"/>
            <w:tcBorders>
              <w:top w:val="single" w:sz="4" w:space="0" w:color="auto"/>
              <w:left w:val="single" w:sz="4" w:space="0" w:color="auto"/>
              <w:bottom w:val="single" w:sz="4" w:space="0" w:color="auto"/>
              <w:right w:val="single" w:sz="4" w:space="0" w:color="auto"/>
            </w:tcBorders>
            <w:vAlign w:val="center"/>
          </w:tcPr>
          <w:p w14:paraId="3FB86038" w14:textId="06D3B9FF" w:rsidR="00AC0DED" w:rsidRPr="00F56197" w:rsidRDefault="00AC0DED" w:rsidP="00AC0DED">
            <w:pPr>
              <w:jc w:val="center"/>
              <w:rPr>
                <w:rFonts w:cstheme="minorHAnsi"/>
                <w:sz w:val="20"/>
              </w:rPr>
            </w:pPr>
            <w:r>
              <w:rPr>
                <w:rFonts w:cstheme="minorHAnsi"/>
                <w:sz w:val="20"/>
              </w:rPr>
              <w:t>2</w:t>
            </w:r>
          </w:p>
        </w:tc>
        <w:tc>
          <w:tcPr>
            <w:tcW w:w="1342" w:type="dxa"/>
            <w:tcBorders>
              <w:top w:val="single" w:sz="4" w:space="0" w:color="auto"/>
              <w:left w:val="single" w:sz="4" w:space="0" w:color="auto"/>
              <w:bottom w:val="single" w:sz="4" w:space="0" w:color="auto"/>
              <w:right w:val="single" w:sz="4" w:space="0" w:color="auto"/>
            </w:tcBorders>
            <w:vAlign w:val="center"/>
          </w:tcPr>
          <w:p w14:paraId="1F5008D5" w14:textId="0AC2B44F" w:rsidR="00AC0DED" w:rsidRPr="00F56197" w:rsidRDefault="00AC0DED" w:rsidP="00AC0DED">
            <w:pPr>
              <w:jc w:val="center"/>
              <w:rPr>
                <w:rFonts w:cstheme="minorHAnsi"/>
                <w:sz w:val="20"/>
              </w:rPr>
            </w:pPr>
            <w:r w:rsidRPr="00F56197">
              <w:rPr>
                <w:rFonts w:cstheme="minorHAnsi"/>
                <w:sz w:val="20"/>
              </w:rPr>
              <w:t>250 ml HDPE</w:t>
            </w:r>
          </w:p>
        </w:tc>
        <w:tc>
          <w:tcPr>
            <w:tcW w:w="1485" w:type="dxa"/>
            <w:tcBorders>
              <w:top w:val="single" w:sz="4" w:space="0" w:color="auto"/>
              <w:left w:val="single" w:sz="4" w:space="0" w:color="auto"/>
              <w:bottom w:val="single" w:sz="4" w:space="0" w:color="auto"/>
              <w:right w:val="single" w:sz="4" w:space="0" w:color="auto"/>
            </w:tcBorders>
            <w:vAlign w:val="center"/>
          </w:tcPr>
          <w:p w14:paraId="5C6F879A" w14:textId="2C2C8F09" w:rsidR="00AC0DED" w:rsidRPr="00F56197" w:rsidRDefault="00081CFF" w:rsidP="00AC0DED">
            <w:pPr>
              <w:pStyle w:val="TableParagraph"/>
              <w:spacing w:before="3" w:line="235" w:lineRule="auto"/>
              <w:rPr>
                <w:rFonts w:cstheme="minorHAnsi"/>
                <w:sz w:val="20"/>
              </w:rPr>
            </w:pPr>
            <w:r>
              <w:rPr>
                <w:rFonts w:asciiTheme="minorHAnsi" w:hAnsiTheme="minorHAnsi" w:cstheme="minorHAnsi"/>
                <w:sz w:val="20"/>
                <w:szCs w:val="20"/>
              </w:rPr>
              <w:t xml:space="preserve">Field filter 0.45 µm; </w:t>
            </w:r>
            <w:r w:rsidR="00AC0DED" w:rsidRPr="00F56197">
              <w:rPr>
                <w:rFonts w:asciiTheme="minorHAnsi" w:hAnsiTheme="minorHAnsi" w:cstheme="minorHAnsi"/>
                <w:sz w:val="20"/>
                <w:szCs w:val="20"/>
              </w:rPr>
              <w:t>≤6</w:t>
            </w:r>
            <w:r w:rsidR="00AC0DED" w:rsidRPr="00F56197">
              <w:rPr>
                <w:rFonts w:asciiTheme="minorHAnsi" w:hAnsiTheme="minorHAnsi" w:cstheme="minorHAnsi"/>
                <w:position w:val="7"/>
                <w:sz w:val="20"/>
                <w:szCs w:val="20"/>
              </w:rPr>
              <w:t>o</w:t>
            </w:r>
            <w:r w:rsidR="00AC0DED" w:rsidRPr="00F56197">
              <w:rPr>
                <w:rFonts w:asciiTheme="minorHAnsi" w:hAnsiTheme="minorHAnsi" w:cstheme="minorHAnsi"/>
                <w:sz w:val="20"/>
                <w:szCs w:val="20"/>
              </w:rPr>
              <w:t>C</w:t>
            </w:r>
            <w:r w:rsidR="00AC0DED">
              <w:rPr>
                <w:rFonts w:asciiTheme="minorHAnsi" w:hAnsiTheme="minorHAnsi" w:cstheme="minorHAnsi"/>
                <w:sz w:val="20"/>
                <w:szCs w:val="20"/>
              </w:rPr>
              <w:t xml:space="preserve"> on ice</w:t>
            </w:r>
          </w:p>
        </w:tc>
      </w:tr>
      <w:tr w:rsidR="00AC0DED" w14:paraId="615CBD80" w14:textId="77777777" w:rsidTr="00F56197">
        <w:trPr>
          <w:trHeight w:hRule="exact" w:val="576"/>
          <w:jc w:val="center"/>
        </w:trPr>
        <w:tc>
          <w:tcPr>
            <w:tcW w:w="2973" w:type="dxa"/>
            <w:tcBorders>
              <w:top w:val="single" w:sz="4" w:space="0" w:color="auto"/>
              <w:left w:val="single" w:sz="4" w:space="0" w:color="auto"/>
              <w:bottom w:val="single" w:sz="4" w:space="0" w:color="auto"/>
              <w:right w:val="single" w:sz="4" w:space="0" w:color="auto"/>
            </w:tcBorders>
            <w:vAlign w:val="center"/>
            <w:hideMark/>
          </w:tcPr>
          <w:p w14:paraId="3BDC776E" w14:textId="7A773FD2" w:rsidR="00AC0DED" w:rsidRPr="00F56197" w:rsidRDefault="00AC0DED" w:rsidP="00AC0DED">
            <w:pPr>
              <w:pStyle w:val="TableParagraph"/>
              <w:spacing w:before="7"/>
              <w:rPr>
                <w:rFonts w:asciiTheme="minorHAnsi" w:hAnsiTheme="minorHAnsi" w:cstheme="minorHAnsi"/>
                <w:sz w:val="20"/>
                <w:szCs w:val="20"/>
              </w:rPr>
            </w:pPr>
            <w:r w:rsidRPr="00F56197">
              <w:rPr>
                <w:rFonts w:asciiTheme="minorHAnsi" w:hAnsiTheme="minorHAnsi" w:cstheme="minorHAnsi"/>
                <w:sz w:val="20"/>
                <w:szCs w:val="20"/>
              </w:rPr>
              <w:t>Calcium</w:t>
            </w:r>
          </w:p>
        </w:tc>
        <w:tc>
          <w:tcPr>
            <w:tcW w:w="1231" w:type="dxa"/>
            <w:tcBorders>
              <w:top w:val="single" w:sz="4" w:space="0" w:color="auto"/>
              <w:left w:val="single" w:sz="4" w:space="0" w:color="auto"/>
              <w:bottom w:val="single" w:sz="4" w:space="0" w:color="auto"/>
              <w:right w:val="single" w:sz="4" w:space="0" w:color="auto"/>
            </w:tcBorders>
            <w:vAlign w:val="center"/>
            <w:hideMark/>
          </w:tcPr>
          <w:p w14:paraId="13DE9167" w14:textId="77777777" w:rsidR="00AC0DED" w:rsidRPr="00F56197" w:rsidRDefault="00AC0DED" w:rsidP="00AC0DED">
            <w:pPr>
              <w:pStyle w:val="TableParagraph"/>
              <w:spacing w:before="7"/>
              <w:rPr>
                <w:rFonts w:asciiTheme="minorHAnsi" w:hAnsiTheme="minorHAnsi" w:cstheme="minorHAnsi"/>
                <w:sz w:val="20"/>
                <w:szCs w:val="20"/>
              </w:rPr>
            </w:pPr>
            <w:r w:rsidRPr="00F56197">
              <w:rPr>
                <w:rFonts w:asciiTheme="minorHAnsi" w:hAnsiTheme="minorHAnsi" w:cstheme="minorHAnsi"/>
                <w:sz w:val="20"/>
                <w:szCs w:val="20"/>
              </w:rPr>
              <w:t>EPA 200.7</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CA1E5F5" w14:textId="77777777" w:rsidR="00AC0DED" w:rsidRPr="00F56197" w:rsidRDefault="00AC0DED" w:rsidP="00E803CC">
            <w:pPr>
              <w:pStyle w:val="TableParagraph"/>
              <w:spacing w:before="7"/>
              <w:rPr>
                <w:rFonts w:asciiTheme="minorHAnsi" w:hAnsiTheme="minorHAnsi" w:cstheme="minorHAnsi"/>
                <w:sz w:val="20"/>
                <w:szCs w:val="20"/>
              </w:rPr>
            </w:pPr>
            <w:r w:rsidRPr="00F56197">
              <w:rPr>
                <w:rFonts w:asciiTheme="minorHAnsi" w:hAnsiTheme="minorHAnsi" w:cstheme="minorHAnsi"/>
                <w:sz w:val="20"/>
                <w:szCs w:val="20"/>
              </w:rPr>
              <w:t>1000</w:t>
            </w:r>
          </w:p>
        </w:tc>
        <w:tc>
          <w:tcPr>
            <w:tcW w:w="1041" w:type="dxa"/>
            <w:tcBorders>
              <w:top w:val="single" w:sz="4" w:space="0" w:color="auto"/>
              <w:left w:val="single" w:sz="4" w:space="0" w:color="auto"/>
              <w:bottom w:val="single" w:sz="4" w:space="0" w:color="auto"/>
              <w:right w:val="single" w:sz="4" w:space="0" w:color="auto"/>
            </w:tcBorders>
            <w:vAlign w:val="center"/>
            <w:hideMark/>
          </w:tcPr>
          <w:p w14:paraId="29FFB93A" w14:textId="77777777" w:rsidR="00AC0DED" w:rsidRPr="00F56197" w:rsidRDefault="00AC0DED" w:rsidP="00AC0DED">
            <w:pPr>
              <w:jc w:val="center"/>
              <w:rPr>
                <w:rFonts w:cstheme="minorHAnsi"/>
                <w:sz w:val="20"/>
              </w:rPr>
            </w:pPr>
            <w:r w:rsidRPr="00F56197">
              <w:rPr>
                <w:rFonts w:cstheme="minorHAnsi"/>
                <w:sz w:val="20"/>
              </w:rPr>
              <w:t>180</w:t>
            </w:r>
          </w:p>
        </w:tc>
        <w:tc>
          <w:tcPr>
            <w:tcW w:w="1342" w:type="dxa"/>
            <w:tcBorders>
              <w:top w:val="single" w:sz="4" w:space="0" w:color="auto"/>
              <w:left w:val="single" w:sz="4" w:space="0" w:color="auto"/>
              <w:bottom w:val="single" w:sz="4" w:space="0" w:color="auto"/>
              <w:right w:val="single" w:sz="4" w:space="0" w:color="auto"/>
            </w:tcBorders>
            <w:vAlign w:val="center"/>
            <w:hideMark/>
          </w:tcPr>
          <w:p w14:paraId="5271BC03" w14:textId="0A89A547" w:rsidR="00AC0DED" w:rsidRPr="00F56197" w:rsidRDefault="00AC0DED" w:rsidP="00AC0DED">
            <w:pPr>
              <w:jc w:val="center"/>
              <w:rPr>
                <w:rFonts w:cstheme="minorHAnsi"/>
                <w:sz w:val="20"/>
              </w:rPr>
            </w:pPr>
            <w:r w:rsidRPr="00F56197">
              <w:rPr>
                <w:rFonts w:cstheme="minorHAnsi"/>
                <w:sz w:val="20"/>
              </w:rPr>
              <w:t>250 ml HDPE</w:t>
            </w:r>
          </w:p>
        </w:tc>
        <w:tc>
          <w:tcPr>
            <w:tcW w:w="1485" w:type="dxa"/>
            <w:tcBorders>
              <w:top w:val="single" w:sz="4" w:space="0" w:color="auto"/>
              <w:left w:val="single" w:sz="4" w:space="0" w:color="auto"/>
              <w:bottom w:val="single" w:sz="4" w:space="0" w:color="auto"/>
              <w:right w:val="single" w:sz="4" w:space="0" w:color="auto"/>
            </w:tcBorders>
            <w:vAlign w:val="center"/>
            <w:hideMark/>
          </w:tcPr>
          <w:p w14:paraId="7046A60A" w14:textId="0B31F357" w:rsidR="00AC0DED" w:rsidRPr="00F56197" w:rsidRDefault="00AC0DED" w:rsidP="00AC0DED">
            <w:pPr>
              <w:jc w:val="center"/>
              <w:rPr>
                <w:rFonts w:cstheme="minorHAnsi"/>
                <w:sz w:val="20"/>
              </w:rPr>
            </w:pPr>
            <w:r w:rsidRPr="00F56197">
              <w:rPr>
                <w:rFonts w:cstheme="minorHAnsi"/>
                <w:sz w:val="20"/>
              </w:rPr>
              <w:t>HNO</w:t>
            </w:r>
            <w:r w:rsidRPr="00F56197">
              <w:rPr>
                <w:rFonts w:cstheme="minorHAnsi"/>
                <w:sz w:val="20"/>
                <w:vertAlign w:val="subscript"/>
              </w:rPr>
              <w:t>3</w:t>
            </w:r>
            <w:r>
              <w:rPr>
                <w:rFonts w:cstheme="minorHAnsi"/>
                <w:sz w:val="20"/>
                <w:vertAlign w:val="subscript"/>
              </w:rPr>
              <w:t xml:space="preserve">, </w:t>
            </w:r>
            <w:r w:rsidRPr="00F56197">
              <w:rPr>
                <w:rFonts w:cstheme="minorHAnsi"/>
                <w:sz w:val="20"/>
              </w:rPr>
              <w:t>≤6</w:t>
            </w:r>
            <w:r w:rsidRPr="00AC0DED">
              <w:rPr>
                <w:rFonts w:cstheme="minorHAnsi"/>
                <w:position w:val="7"/>
                <w:sz w:val="20"/>
                <w:vertAlign w:val="superscript"/>
              </w:rPr>
              <w:t>o</w:t>
            </w:r>
            <w:r w:rsidRPr="00F56197">
              <w:rPr>
                <w:rFonts w:cstheme="minorHAnsi"/>
                <w:sz w:val="20"/>
              </w:rPr>
              <w:t>C</w:t>
            </w:r>
            <w:r>
              <w:rPr>
                <w:rFonts w:cstheme="minorHAnsi"/>
                <w:sz w:val="20"/>
              </w:rPr>
              <w:t xml:space="preserve"> on ice</w:t>
            </w:r>
          </w:p>
        </w:tc>
      </w:tr>
      <w:tr w:rsidR="00AC0DED" w14:paraId="7C6EC501" w14:textId="77777777" w:rsidTr="00F56197">
        <w:trPr>
          <w:trHeight w:hRule="exact" w:val="576"/>
          <w:jc w:val="center"/>
        </w:trPr>
        <w:tc>
          <w:tcPr>
            <w:tcW w:w="2973" w:type="dxa"/>
            <w:tcBorders>
              <w:top w:val="single" w:sz="4" w:space="0" w:color="auto"/>
              <w:left w:val="single" w:sz="4" w:space="0" w:color="auto"/>
              <w:bottom w:val="single" w:sz="4" w:space="0" w:color="auto"/>
              <w:right w:val="single" w:sz="4" w:space="0" w:color="auto"/>
            </w:tcBorders>
            <w:vAlign w:val="center"/>
            <w:hideMark/>
          </w:tcPr>
          <w:p w14:paraId="3DDEB8AF" w14:textId="77777777" w:rsidR="00AC0DED" w:rsidRPr="00F56197" w:rsidRDefault="00AC0DED" w:rsidP="00AC0DED">
            <w:pPr>
              <w:pStyle w:val="TableParagraph"/>
              <w:spacing w:before="7"/>
              <w:rPr>
                <w:rFonts w:asciiTheme="minorHAnsi" w:hAnsiTheme="minorHAnsi" w:cstheme="minorHAnsi"/>
                <w:sz w:val="20"/>
                <w:szCs w:val="20"/>
              </w:rPr>
            </w:pPr>
            <w:r w:rsidRPr="00F56197">
              <w:rPr>
                <w:rFonts w:asciiTheme="minorHAnsi" w:hAnsiTheme="minorHAnsi" w:cstheme="minorHAnsi"/>
                <w:sz w:val="20"/>
                <w:szCs w:val="20"/>
              </w:rPr>
              <w:t>Alkalinity</w:t>
            </w:r>
          </w:p>
        </w:tc>
        <w:tc>
          <w:tcPr>
            <w:tcW w:w="1231" w:type="dxa"/>
            <w:tcBorders>
              <w:top w:val="single" w:sz="4" w:space="0" w:color="auto"/>
              <w:left w:val="single" w:sz="4" w:space="0" w:color="auto"/>
              <w:bottom w:val="single" w:sz="4" w:space="0" w:color="auto"/>
              <w:right w:val="single" w:sz="4" w:space="0" w:color="auto"/>
            </w:tcBorders>
            <w:vAlign w:val="center"/>
            <w:hideMark/>
          </w:tcPr>
          <w:p w14:paraId="245FDB9B" w14:textId="77777777" w:rsidR="00AC0DED" w:rsidRPr="00F56197" w:rsidRDefault="00AC0DED" w:rsidP="00AC0DED">
            <w:pPr>
              <w:pStyle w:val="TableParagraph"/>
              <w:spacing w:before="7"/>
              <w:rPr>
                <w:rFonts w:asciiTheme="minorHAnsi" w:hAnsiTheme="minorHAnsi" w:cstheme="minorHAnsi"/>
                <w:sz w:val="20"/>
                <w:szCs w:val="20"/>
              </w:rPr>
            </w:pPr>
            <w:r w:rsidRPr="00F56197">
              <w:rPr>
                <w:rFonts w:asciiTheme="minorHAnsi" w:hAnsiTheme="minorHAnsi" w:cstheme="minorHAnsi"/>
                <w:sz w:val="20"/>
                <w:szCs w:val="20"/>
              </w:rPr>
              <w:t>A2320 B</w:t>
            </w:r>
          </w:p>
        </w:tc>
        <w:tc>
          <w:tcPr>
            <w:tcW w:w="1523" w:type="dxa"/>
            <w:tcBorders>
              <w:top w:val="single" w:sz="4" w:space="0" w:color="auto"/>
              <w:left w:val="single" w:sz="4" w:space="0" w:color="auto"/>
              <w:bottom w:val="single" w:sz="4" w:space="0" w:color="auto"/>
              <w:right w:val="single" w:sz="4" w:space="0" w:color="auto"/>
            </w:tcBorders>
            <w:vAlign w:val="center"/>
            <w:hideMark/>
          </w:tcPr>
          <w:p w14:paraId="07FE5E2D" w14:textId="77777777" w:rsidR="00AC0DED" w:rsidRPr="00F56197" w:rsidRDefault="00AC0DED" w:rsidP="00E803CC">
            <w:pPr>
              <w:pStyle w:val="TableParagraph"/>
              <w:spacing w:before="7"/>
              <w:rPr>
                <w:rFonts w:asciiTheme="minorHAnsi" w:hAnsiTheme="minorHAnsi" w:cstheme="minorHAnsi"/>
                <w:sz w:val="20"/>
                <w:szCs w:val="20"/>
              </w:rPr>
            </w:pPr>
            <w:r w:rsidRPr="00F56197">
              <w:rPr>
                <w:rFonts w:asciiTheme="minorHAnsi" w:hAnsiTheme="minorHAnsi" w:cstheme="minorHAnsi"/>
                <w:sz w:val="20"/>
                <w:szCs w:val="20"/>
              </w:rPr>
              <w:t>1000</w:t>
            </w:r>
          </w:p>
        </w:tc>
        <w:tc>
          <w:tcPr>
            <w:tcW w:w="1041" w:type="dxa"/>
            <w:tcBorders>
              <w:top w:val="single" w:sz="4" w:space="0" w:color="auto"/>
              <w:left w:val="single" w:sz="4" w:space="0" w:color="auto"/>
              <w:bottom w:val="single" w:sz="4" w:space="0" w:color="auto"/>
              <w:right w:val="single" w:sz="4" w:space="0" w:color="auto"/>
            </w:tcBorders>
            <w:vAlign w:val="center"/>
            <w:hideMark/>
          </w:tcPr>
          <w:p w14:paraId="446F89E3" w14:textId="77777777" w:rsidR="00AC0DED" w:rsidRPr="00F56197" w:rsidRDefault="00AC0DED" w:rsidP="00AC0DED">
            <w:pPr>
              <w:jc w:val="center"/>
              <w:rPr>
                <w:rFonts w:cstheme="minorHAnsi"/>
                <w:sz w:val="20"/>
              </w:rPr>
            </w:pPr>
            <w:r w:rsidRPr="00F56197">
              <w:rPr>
                <w:rFonts w:cstheme="minorHAnsi"/>
                <w:sz w:val="20"/>
              </w:rPr>
              <w:t>14</w:t>
            </w:r>
          </w:p>
        </w:tc>
        <w:tc>
          <w:tcPr>
            <w:tcW w:w="1342" w:type="dxa"/>
            <w:tcBorders>
              <w:top w:val="single" w:sz="4" w:space="0" w:color="auto"/>
              <w:left w:val="single" w:sz="4" w:space="0" w:color="auto"/>
              <w:bottom w:val="single" w:sz="4" w:space="0" w:color="auto"/>
              <w:right w:val="single" w:sz="4" w:space="0" w:color="auto"/>
            </w:tcBorders>
            <w:vAlign w:val="center"/>
            <w:hideMark/>
          </w:tcPr>
          <w:p w14:paraId="0609A362" w14:textId="115F27E1" w:rsidR="00AC0DED" w:rsidRPr="00F56197" w:rsidRDefault="00AC0DED" w:rsidP="00AC0DED">
            <w:pPr>
              <w:jc w:val="center"/>
              <w:rPr>
                <w:rFonts w:cstheme="minorHAnsi"/>
                <w:sz w:val="20"/>
              </w:rPr>
            </w:pPr>
            <w:r>
              <w:rPr>
                <w:rFonts w:cstheme="minorHAnsi"/>
                <w:sz w:val="20"/>
              </w:rPr>
              <w:t xml:space="preserve">250 </w:t>
            </w:r>
            <w:r w:rsidRPr="00F56197">
              <w:rPr>
                <w:rFonts w:cstheme="minorHAnsi"/>
                <w:sz w:val="20"/>
              </w:rPr>
              <w:t>ml HDPE</w:t>
            </w:r>
          </w:p>
        </w:tc>
        <w:tc>
          <w:tcPr>
            <w:tcW w:w="1485" w:type="dxa"/>
            <w:tcBorders>
              <w:top w:val="single" w:sz="4" w:space="0" w:color="auto"/>
              <w:left w:val="single" w:sz="4" w:space="0" w:color="auto"/>
              <w:bottom w:val="single" w:sz="4" w:space="0" w:color="auto"/>
              <w:right w:val="single" w:sz="4" w:space="0" w:color="auto"/>
            </w:tcBorders>
            <w:vAlign w:val="center"/>
            <w:hideMark/>
          </w:tcPr>
          <w:p w14:paraId="3ACD98E1" w14:textId="23748D3E" w:rsidR="00AC0DED" w:rsidRPr="00F56197" w:rsidRDefault="00AC0DED" w:rsidP="00AC0DED">
            <w:pPr>
              <w:jc w:val="center"/>
              <w:rPr>
                <w:rFonts w:cstheme="minorHAnsi"/>
                <w:b/>
                <w:sz w:val="20"/>
              </w:rPr>
            </w:pPr>
            <w:r w:rsidRPr="00F56197">
              <w:rPr>
                <w:rFonts w:cstheme="minorHAnsi"/>
                <w:position w:val="1"/>
                <w:sz w:val="20"/>
              </w:rPr>
              <w:t>≤6</w:t>
            </w:r>
            <w:r w:rsidRPr="00AC0DED">
              <w:rPr>
                <w:rFonts w:cstheme="minorHAnsi"/>
                <w:position w:val="8"/>
                <w:sz w:val="20"/>
                <w:vertAlign w:val="superscript"/>
              </w:rPr>
              <w:t>o</w:t>
            </w:r>
            <w:r w:rsidRPr="00F56197">
              <w:rPr>
                <w:rFonts w:cstheme="minorHAnsi"/>
                <w:position w:val="1"/>
                <w:sz w:val="20"/>
              </w:rPr>
              <w:t>C</w:t>
            </w:r>
            <w:r>
              <w:rPr>
                <w:rFonts w:cstheme="minorHAnsi"/>
                <w:position w:val="1"/>
                <w:sz w:val="20"/>
              </w:rPr>
              <w:t xml:space="preserve"> </w:t>
            </w:r>
            <w:r>
              <w:rPr>
                <w:rFonts w:cstheme="minorHAnsi"/>
                <w:sz w:val="20"/>
              </w:rPr>
              <w:t>on ice</w:t>
            </w:r>
          </w:p>
        </w:tc>
      </w:tr>
      <w:tr w:rsidR="00E803CC" w14:paraId="289CC17F" w14:textId="77777777" w:rsidTr="00AC0DED">
        <w:trPr>
          <w:trHeight w:hRule="exact" w:val="924"/>
          <w:jc w:val="center"/>
        </w:trPr>
        <w:tc>
          <w:tcPr>
            <w:tcW w:w="2973" w:type="dxa"/>
            <w:tcBorders>
              <w:top w:val="single" w:sz="4" w:space="0" w:color="auto"/>
              <w:left w:val="single" w:sz="4" w:space="0" w:color="auto"/>
              <w:bottom w:val="single" w:sz="4" w:space="0" w:color="auto"/>
              <w:right w:val="single" w:sz="4" w:space="0" w:color="auto"/>
            </w:tcBorders>
            <w:vAlign w:val="center"/>
          </w:tcPr>
          <w:p w14:paraId="451BF95E" w14:textId="5B59B8DD" w:rsidR="00E803CC" w:rsidRPr="00F56197" w:rsidRDefault="00E803CC" w:rsidP="00E803CC">
            <w:pPr>
              <w:pStyle w:val="TableParagraph"/>
              <w:spacing w:before="124"/>
              <w:rPr>
                <w:rFonts w:asciiTheme="minorHAnsi" w:hAnsiTheme="minorHAnsi" w:cstheme="minorHAnsi"/>
                <w:sz w:val="20"/>
                <w:szCs w:val="20"/>
              </w:rPr>
            </w:pPr>
            <w:r>
              <w:rPr>
                <w:rFonts w:asciiTheme="minorHAnsi" w:hAnsiTheme="minorHAnsi" w:cstheme="minorHAnsi"/>
                <w:sz w:val="20"/>
                <w:szCs w:val="20"/>
              </w:rPr>
              <w:t>Total</w:t>
            </w:r>
            <w:r w:rsidRPr="00F56197">
              <w:rPr>
                <w:rFonts w:asciiTheme="minorHAnsi" w:hAnsiTheme="minorHAnsi" w:cstheme="minorHAnsi"/>
                <w:sz w:val="20"/>
                <w:szCs w:val="20"/>
              </w:rPr>
              <w:t xml:space="preserve"> Organic Carbon (</w:t>
            </w:r>
            <w:r w:rsidR="00E45B61">
              <w:rPr>
                <w:rFonts w:asciiTheme="minorHAnsi" w:hAnsiTheme="minorHAnsi" w:cstheme="minorHAnsi"/>
                <w:sz w:val="20"/>
                <w:szCs w:val="20"/>
              </w:rPr>
              <w:t>T</w:t>
            </w:r>
            <w:r w:rsidRPr="00F56197">
              <w:rPr>
                <w:rFonts w:asciiTheme="minorHAnsi" w:hAnsiTheme="minorHAnsi" w:cstheme="minorHAnsi"/>
                <w:sz w:val="20"/>
                <w:szCs w:val="20"/>
              </w:rPr>
              <w:t>OC)</w:t>
            </w:r>
          </w:p>
        </w:tc>
        <w:tc>
          <w:tcPr>
            <w:tcW w:w="1231" w:type="dxa"/>
            <w:tcBorders>
              <w:top w:val="single" w:sz="4" w:space="0" w:color="auto"/>
              <w:left w:val="single" w:sz="4" w:space="0" w:color="auto"/>
              <w:bottom w:val="single" w:sz="4" w:space="0" w:color="auto"/>
              <w:right w:val="single" w:sz="4" w:space="0" w:color="auto"/>
            </w:tcBorders>
            <w:vAlign w:val="center"/>
          </w:tcPr>
          <w:p w14:paraId="5D3A7732" w14:textId="07DEB04B" w:rsidR="00E803CC" w:rsidRPr="00F56197" w:rsidRDefault="00E803CC" w:rsidP="00E803CC">
            <w:pPr>
              <w:pStyle w:val="TableParagraph"/>
              <w:spacing w:before="0"/>
              <w:rPr>
                <w:rFonts w:asciiTheme="minorHAnsi" w:hAnsiTheme="minorHAnsi" w:cstheme="minorHAnsi"/>
                <w:sz w:val="20"/>
                <w:szCs w:val="20"/>
              </w:rPr>
            </w:pPr>
            <w:r w:rsidRPr="00F56197">
              <w:rPr>
                <w:rFonts w:asciiTheme="minorHAnsi" w:hAnsiTheme="minorHAnsi" w:cstheme="minorHAnsi"/>
                <w:sz w:val="20"/>
                <w:szCs w:val="20"/>
              </w:rPr>
              <w:t>A5310 B</w:t>
            </w:r>
          </w:p>
        </w:tc>
        <w:tc>
          <w:tcPr>
            <w:tcW w:w="1523" w:type="dxa"/>
            <w:tcBorders>
              <w:top w:val="single" w:sz="4" w:space="0" w:color="auto"/>
              <w:left w:val="single" w:sz="4" w:space="0" w:color="auto"/>
              <w:bottom w:val="single" w:sz="4" w:space="0" w:color="auto"/>
              <w:right w:val="single" w:sz="4" w:space="0" w:color="auto"/>
            </w:tcBorders>
            <w:vAlign w:val="center"/>
          </w:tcPr>
          <w:p w14:paraId="26FB9028" w14:textId="051DD509" w:rsidR="00E803CC" w:rsidRPr="00F56197" w:rsidRDefault="00E803CC" w:rsidP="00E803CC">
            <w:pPr>
              <w:pStyle w:val="TableParagraph"/>
              <w:spacing w:before="0"/>
              <w:rPr>
                <w:rFonts w:asciiTheme="minorHAnsi" w:hAnsiTheme="minorHAnsi" w:cstheme="minorHAnsi"/>
                <w:sz w:val="20"/>
                <w:szCs w:val="20"/>
              </w:rPr>
            </w:pPr>
            <w:r w:rsidRPr="00F56197">
              <w:rPr>
                <w:rFonts w:asciiTheme="minorHAnsi" w:hAnsiTheme="minorHAnsi" w:cstheme="minorHAnsi"/>
                <w:sz w:val="20"/>
                <w:szCs w:val="20"/>
              </w:rPr>
              <w:t>500</w:t>
            </w:r>
          </w:p>
        </w:tc>
        <w:tc>
          <w:tcPr>
            <w:tcW w:w="1041" w:type="dxa"/>
            <w:tcBorders>
              <w:top w:val="single" w:sz="4" w:space="0" w:color="auto"/>
              <w:left w:val="single" w:sz="4" w:space="0" w:color="auto"/>
              <w:bottom w:val="single" w:sz="4" w:space="0" w:color="auto"/>
              <w:right w:val="single" w:sz="4" w:space="0" w:color="auto"/>
            </w:tcBorders>
            <w:vAlign w:val="center"/>
          </w:tcPr>
          <w:p w14:paraId="1BD623F4" w14:textId="64827F0D" w:rsidR="00E803CC" w:rsidRPr="00F56197" w:rsidRDefault="00E803CC" w:rsidP="00E803CC">
            <w:pPr>
              <w:pStyle w:val="TableParagraph"/>
              <w:spacing w:before="0"/>
              <w:ind w:left="95"/>
              <w:rPr>
                <w:rFonts w:asciiTheme="minorHAnsi" w:hAnsiTheme="minorHAnsi" w:cstheme="minorHAnsi"/>
                <w:sz w:val="20"/>
                <w:szCs w:val="20"/>
              </w:rPr>
            </w:pPr>
            <w:r w:rsidRPr="00F56197">
              <w:rPr>
                <w:rFonts w:asciiTheme="minorHAnsi" w:hAnsiTheme="minorHAnsi" w:cstheme="minorHAnsi"/>
                <w:sz w:val="20"/>
                <w:szCs w:val="20"/>
              </w:rPr>
              <w:t>28</w:t>
            </w:r>
          </w:p>
        </w:tc>
        <w:tc>
          <w:tcPr>
            <w:tcW w:w="1342" w:type="dxa"/>
            <w:tcBorders>
              <w:top w:val="single" w:sz="4" w:space="0" w:color="auto"/>
              <w:left w:val="single" w:sz="4" w:space="0" w:color="auto"/>
              <w:bottom w:val="single" w:sz="4" w:space="0" w:color="auto"/>
              <w:right w:val="single" w:sz="4" w:space="0" w:color="auto"/>
            </w:tcBorders>
            <w:vAlign w:val="center"/>
          </w:tcPr>
          <w:p w14:paraId="012DFDD1" w14:textId="58B232F2" w:rsidR="00E803CC" w:rsidRPr="00F56197" w:rsidRDefault="00E803CC" w:rsidP="00E803CC">
            <w:pPr>
              <w:pStyle w:val="TableParagraph"/>
              <w:spacing w:before="124"/>
              <w:rPr>
                <w:rFonts w:asciiTheme="minorHAnsi" w:hAnsiTheme="minorHAnsi" w:cstheme="minorHAnsi"/>
                <w:sz w:val="20"/>
                <w:szCs w:val="20"/>
              </w:rPr>
            </w:pPr>
            <w:r w:rsidRPr="00F56197">
              <w:rPr>
                <w:rFonts w:asciiTheme="minorHAnsi" w:hAnsiTheme="minorHAnsi" w:cstheme="minorHAnsi"/>
                <w:sz w:val="20"/>
                <w:szCs w:val="20"/>
              </w:rPr>
              <w:t xml:space="preserve">125 ml </w:t>
            </w:r>
            <w:r w:rsidR="00081CFF">
              <w:rPr>
                <w:rFonts w:asciiTheme="minorHAnsi" w:hAnsiTheme="minorHAnsi" w:cstheme="minorHAnsi"/>
                <w:sz w:val="20"/>
                <w:szCs w:val="20"/>
              </w:rPr>
              <w:t>amber g</w:t>
            </w:r>
            <w:r w:rsidRPr="00F56197">
              <w:rPr>
                <w:rFonts w:asciiTheme="minorHAnsi" w:hAnsiTheme="minorHAnsi" w:cstheme="minorHAnsi"/>
                <w:sz w:val="20"/>
                <w:szCs w:val="20"/>
              </w:rPr>
              <w:t>lass</w:t>
            </w:r>
          </w:p>
        </w:tc>
        <w:tc>
          <w:tcPr>
            <w:tcW w:w="1485" w:type="dxa"/>
            <w:tcBorders>
              <w:top w:val="single" w:sz="4" w:space="0" w:color="auto"/>
              <w:left w:val="single" w:sz="4" w:space="0" w:color="auto"/>
              <w:bottom w:val="single" w:sz="4" w:space="0" w:color="auto"/>
              <w:right w:val="single" w:sz="4" w:space="0" w:color="auto"/>
            </w:tcBorders>
            <w:vAlign w:val="center"/>
          </w:tcPr>
          <w:p w14:paraId="294D4795" w14:textId="02016441" w:rsidR="00E803CC" w:rsidRPr="00F56197" w:rsidRDefault="00E803CC" w:rsidP="00E803CC">
            <w:pPr>
              <w:pStyle w:val="TableParagraph"/>
              <w:spacing w:before="3" w:line="235" w:lineRule="auto"/>
              <w:ind w:left="223" w:firstLine="3"/>
              <w:rPr>
                <w:rFonts w:asciiTheme="minorHAnsi" w:hAnsiTheme="minorHAnsi" w:cstheme="minorHAnsi"/>
                <w:sz w:val="20"/>
                <w:szCs w:val="20"/>
              </w:rPr>
            </w:pPr>
            <w:r w:rsidRPr="00F56197">
              <w:rPr>
                <w:rFonts w:asciiTheme="minorHAnsi" w:hAnsiTheme="minorHAnsi" w:cstheme="minorHAnsi"/>
                <w:position w:val="1"/>
                <w:sz w:val="20"/>
                <w:szCs w:val="20"/>
              </w:rPr>
              <w:t>H</w:t>
            </w:r>
            <w:r w:rsidRPr="00F4144D">
              <w:rPr>
                <w:rFonts w:asciiTheme="minorHAnsi" w:hAnsiTheme="minorHAnsi" w:cstheme="minorHAnsi"/>
                <w:sz w:val="20"/>
                <w:szCs w:val="20"/>
                <w:vertAlign w:val="subscript"/>
              </w:rPr>
              <w:t>2</w:t>
            </w:r>
            <w:r w:rsidRPr="00F56197">
              <w:rPr>
                <w:rFonts w:asciiTheme="minorHAnsi" w:hAnsiTheme="minorHAnsi" w:cstheme="minorHAnsi"/>
                <w:position w:val="1"/>
                <w:sz w:val="20"/>
                <w:szCs w:val="20"/>
              </w:rPr>
              <w:t>SO</w:t>
            </w:r>
            <w:r w:rsidRPr="00F4144D">
              <w:rPr>
                <w:rFonts w:asciiTheme="minorHAnsi" w:hAnsiTheme="minorHAnsi" w:cstheme="minorHAnsi"/>
                <w:sz w:val="20"/>
                <w:szCs w:val="20"/>
                <w:vertAlign w:val="subscript"/>
              </w:rPr>
              <w:t>4</w:t>
            </w:r>
            <w:r w:rsidRPr="00F56197">
              <w:rPr>
                <w:rFonts w:asciiTheme="minorHAnsi" w:hAnsiTheme="minorHAnsi" w:cstheme="minorHAnsi"/>
                <w:position w:val="1"/>
                <w:sz w:val="20"/>
                <w:szCs w:val="20"/>
              </w:rPr>
              <w:t>,</w:t>
            </w:r>
          </w:p>
          <w:p w14:paraId="5C6EFAEA" w14:textId="14BFF72C" w:rsidR="00E803CC" w:rsidRPr="00F56197" w:rsidRDefault="00E803CC" w:rsidP="00E803CC">
            <w:pPr>
              <w:pStyle w:val="TableParagraph"/>
              <w:spacing w:before="3" w:line="235" w:lineRule="auto"/>
              <w:ind w:left="223" w:firstLine="3"/>
              <w:rPr>
                <w:rFonts w:asciiTheme="minorHAnsi" w:hAnsiTheme="minorHAnsi" w:cstheme="minorHAnsi"/>
                <w:sz w:val="20"/>
                <w:szCs w:val="20"/>
              </w:rPr>
            </w:pPr>
            <w:r w:rsidRPr="00F56197">
              <w:rPr>
                <w:rFonts w:asciiTheme="minorHAnsi" w:hAnsiTheme="minorHAnsi" w:cstheme="minorHAnsi"/>
                <w:sz w:val="20"/>
                <w:szCs w:val="20"/>
              </w:rPr>
              <w:t>≤6</w:t>
            </w:r>
            <w:r w:rsidRPr="00F56197">
              <w:rPr>
                <w:rFonts w:asciiTheme="minorHAnsi" w:hAnsiTheme="minorHAnsi" w:cstheme="minorHAnsi"/>
                <w:position w:val="7"/>
                <w:sz w:val="20"/>
                <w:szCs w:val="20"/>
              </w:rPr>
              <w:t>o</w:t>
            </w:r>
            <w:r w:rsidRPr="00F56197">
              <w:rPr>
                <w:rFonts w:asciiTheme="minorHAnsi" w:hAnsiTheme="minorHAnsi" w:cstheme="minorHAnsi"/>
                <w:sz w:val="20"/>
                <w:szCs w:val="20"/>
              </w:rPr>
              <w:t>C</w:t>
            </w:r>
            <w:r>
              <w:rPr>
                <w:rFonts w:asciiTheme="minorHAnsi" w:hAnsiTheme="minorHAnsi" w:cstheme="minorHAnsi"/>
                <w:sz w:val="20"/>
                <w:szCs w:val="20"/>
              </w:rPr>
              <w:t xml:space="preserve"> on ice</w:t>
            </w:r>
          </w:p>
        </w:tc>
      </w:tr>
      <w:tr w:rsidR="00AC0DED" w14:paraId="1D039F91" w14:textId="77777777" w:rsidTr="00F4144D">
        <w:trPr>
          <w:trHeight w:hRule="exact" w:val="1122"/>
          <w:jc w:val="center"/>
        </w:trPr>
        <w:tc>
          <w:tcPr>
            <w:tcW w:w="2973" w:type="dxa"/>
            <w:tcBorders>
              <w:top w:val="single" w:sz="4" w:space="0" w:color="auto"/>
              <w:left w:val="single" w:sz="4" w:space="0" w:color="auto"/>
              <w:bottom w:val="single" w:sz="4" w:space="0" w:color="auto"/>
              <w:right w:val="single" w:sz="4" w:space="0" w:color="auto"/>
            </w:tcBorders>
            <w:vAlign w:val="center"/>
            <w:hideMark/>
          </w:tcPr>
          <w:p w14:paraId="1DA28EFF" w14:textId="77777777" w:rsidR="00AC0DED" w:rsidRPr="00F56197" w:rsidRDefault="00AC0DED" w:rsidP="00AC0DED">
            <w:pPr>
              <w:pStyle w:val="TableParagraph"/>
              <w:spacing w:before="124"/>
              <w:rPr>
                <w:rFonts w:asciiTheme="minorHAnsi" w:hAnsiTheme="minorHAnsi" w:cstheme="minorHAnsi"/>
                <w:sz w:val="20"/>
                <w:szCs w:val="20"/>
              </w:rPr>
            </w:pPr>
            <w:r w:rsidRPr="00F56197">
              <w:rPr>
                <w:rFonts w:asciiTheme="minorHAnsi" w:hAnsiTheme="minorHAnsi" w:cstheme="minorHAnsi"/>
                <w:sz w:val="20"/>
                <w:szCs w:val="20"/>
              </w:rPr>
              <w:t>Dissolved Organic Carbon (DOC)</w:t>
            </w:r>
          </w:p>
        </w:tc>
        <w:tc>
          <w:tcPr>
            <w:tcW w:w="1231" w:type="dxa"/>
            <w:tcBorders>
              <w:top w:val="single" w:sz="4" w:space="0" w:color="auto"/>
              <w:left w:val="single" w:sz="4" w:space="0" w:color="auto"/>
              <w:bottom w:val="single" w:sz="4" w:space="0" w:color="auto"/>
              <w:right w:val="single" w:sz="4" w:space="0" w:color="auto"/>
            </w:tcBorders>
            <w:vAlign w:val="center"/>
          </w:tcPr>
          <w:p w14:paraId="457BA1EE" w14:textId="77777777" w:rsidR="00AC0DED" w:rsidRPr="00F56197" w:rsidRDefault="00AC0DED" w:rsidP="00AC0DED">
            <w:pPr>
              <w:pStyle w:val="TableParagraph"/>
              <w:spacing w:before="0"/>
              <w:rPr>
                <w:rFonts w:asciiTheme="minorHAnsi" w:hAnsiTheme="minorHAnsi" w:cstheme="minorHAnsi"/>
                <w:sz w:val="20"/>
                <w:szCs w:val="20"/>
              </w:rPr>
            </w:pPr>
            <w:r w:rsidRPr="00F56197">
              <w:rPr>
                <w:rFonts w:asciiTheme="minorHAnsi" w:hAnsiTheme="minorHAnsi" w:cstheme="minorHAnsi"/>
                <w:sz w:val="20"/>
                <w:szCs w:val="20"/>
              </w:rPr>
              <w:t>A5310 B</w:t>
            </w:r>
          </w:p>
        </w:tc>
        <w:tc>
          <w:tcPr>
            <w:tcW w:w="1523" w:type="dxa"/>
            <w:tcBorders>
              <w:top w:val="single" w:sz="4" w:space="0" w:color="auto"/>
              <w:left w:val="single" w:sz="4" w:space="0" w:color="auto"/>
              <w:bottom w:val="single" w:sz="4" w:space="0" w:color="auto"/>
              <w:right w:val="single" w:sz="4" w:space="0" w:color="auto"/>
            </w:tcBorders>
            <w:vAlign w:val="center"/>
          </w:tcPr>
          <w:p w14:paraId="595A5028" w14:textId="77777777" w:rsidR="00AC0DED" w:rsidRPr="00F56197" w:rsidRDefault="00AC0DED" w:rsidP="00E803CC">
            <w:pPr>
              <w:pStyle w:val="TableParagraph"/>
              <w:spacing w:before="0"/>
              <w:rPr>
                <w:rFonts w:asciiTheme="minorHAnsi" w:hAnsiTheme="minorHAnsi" w:cstheme="minorHAnsi"/>
                <w:sz w:val="20"/>
                <w:szCs w:val="20"/>
              </w:rPr>
            </w:pPr>
            <w:r w:rsidRPr="00F56197">
              <w:rPr>
                <w:rFonts w:asciiTheme="minorHAnsi" w:hAnsiTheme="minorHAnsi" w:cstheme="minorHAnsi"/>
                <w:sz w:val="20"/>
                <w:szCs w:val="20"/>
              </w:rPr>
              <w:t>500</w:t>
            </w:r>
          </w:p>
        </w:tc>
        <w:tc>
          <w:tcPr>
            <w:tcW w:w="1041" w:type="dxa"/>
            <w:tcBorders>
              <w:top w:val="single" w:sz="4" w:space="0" w:color="auto"/>
              <w:left w:val="single" w:sz="4" w:space="0" w:color="auto"/>
              <w:bottom w:val="single" w:sz="4" w:space="0" w:color="auto"/>
              <w:right w:val="single" w:sz="4" w:space="0" w:color="auto"/>
            </w:tcBorders>
            <w:vAlign w:val="center"/>
          </w:tcPr>
          <w:p w14:paraId="45A84BE5" w14:textId="77777777" w:rsidR="00AC0DED" w:rsidRPr="00F56197" w:rsidRDefault="00AC0DED" w:rsidP="00AC0DED">
            <w:pPr>
              <w:pStyle w:val="TableParagraph"/>
              <w:spacing w:before="0"/>
              <w:ind w:left="95"/>
              <w:rPr>
                <w:rFonts w:asciiTheme="minorHAnsi" w:hAnsiTheme="minorHAnsi" w:cstheme="minorHAnsi"/>
                <w:sz w:val="20"/>
                <w:szCs w:val="20"/>
              </w:rPr>
            </w:pPr>
            <w:r w:rsidRPr="00F56197">
              <w:rPr>
                <w:rFonts w:asciiTheme="minorHAnsi" w:hAnsiTheme="minorHAnsi" w:cstheme="minorHAnsi"/>
                <w:sz w:val="20"/>
                <w:szCs w:val="20"/>
              </w:rPr>
              <w:t>28</w:t>
            </w:r>
          </w:p>
        </w:tc>
        <w:tc>
          <w:tcPr>
            <w:tcW w:w="1342" w:type="dxa"/>
            <w:tcBorders>
              <w:top w:val="single" w:sz="4" w:space="0" w:color="auto"/>
              <w:left w:val="single" w:sz="4" w:space="0" w:color="auto"/>
              <w:bottom w:val="single" w:sz="4" w:space="0" w:color="auto"/>
              <w:right w:val="single" w:sz="4" w:space="0" w:color="auto"/>
            </w:tcBorders>
            <w:vAlign w:val="center"/>
            <w:hideMark/>
          </w:tcPr>
          <w:p w14:paraId="647464C9" w14:textId="0DD5B7BA" w:rsidR="00AC0DED" w:rsidRPr="00F56197" w:rsidRDefault="00AC0DED" w:rsidP="00AC0DED">
            <w:pPr>
              <w:pStyle w:val="TableParagraph"/>
              <w:spacing w:before="124"/>
              <w:rPr>
                <w:rFonts w:asciiTheme="minorHAnsi" w:hAnsiTheme="minorHAnsi" w:cstheme="minorHAnsi"/>
                <w:sz w:val="20"/>
                <w:szCs w:val="20"/>
              </w:rPr>
            </w:pPr>
            <w:r w:rsidRPr="00F56197">
              <w:rPr>
                <w:rFonts w:asciiTheme="minorHAnsi" w:hAnsiTheme="minorHAnsi" w:cstheme="minorHAnsi"/>
                <w:sz w:val="20"/>
                <w:szCs w:val="20"/>
              </w:rPr>
              <w:t xml:space="preserve">125 ml </w:t>
            </w:r>
            <w:r w:rsidR="00E60507">
              <w:rPr>
                <w:rFonts w:asciiTheme="minorHAnsi" w:hAnsiTheme="minorHAnsi" w:cstheme="minorHAnsi"/>
                <w:sz w:val="20"/>
                <w:szCs w:val="20"/>
              </w:rPr>
              <w:t>amber g</w:t>
            </w:r>
            <w:r w:rsidRPr="00F56197">
              <w:rPr>
                <w:rFonts w:asciiTheme="minorHAnsi" w:hAnsiTheme="minorHAnsi" w:cstheme="minorHAnsi"/>
                <w:sz w:val="20"/>
                <w:szCs w:val="20"/>
              </w:rPr>
              <w:t>lass</w:t>
            </w:r>
          </w:p>
        </w:tc>
        <w:tc>
          <w:tcPr>
            <w:tcW w:w="1485" w:type="dxa"/>
            <w:tcBorders>
              <w:top w:val="single" w:sz="4" w:space="0" w:color="auto"/>
              <w:left w:val="single" w:sz="4" w:space="0" w:color="auto"/>
              <w:bottom w:val="single" w:sz="4" w:space="0" w:color="auto"/>
              <w:right w:val="single" w:sz="4" w:space="0" w:color="auto"/>
            </w:tcBorders>
            <w:vAlign w:val="center"/>
            <w:hideMark/>
          </w:tcPr>
          <w:p w14:paraId="604B4FA1" w14:textId="34F895A8" w:rsidR="00AC0DED" w:rsidRPr="00F56197" w:rsidRDefault="00E60507" w:rsidP="00AC0DED">
            <w:pPr>
              <w:pStyle w:val="TableParagraph"/>
              <w:spacing w:before="3" w:line="235" w:lineRule="auto"/>
              <w:ind w:left="223" w:firstLine="3"/>
              <w:rPr>
                <w:rFonts w:asciiTheme="minorHAnsi" w:hAnsiTheme="minorHAnsi" w:cstheme="minorHAnsi"/>
                <w:sz w:val="20"/>
                <w:szCs w:val="20"/>
              </w:rPr>
            </w:pPr>
            <w:r>
              <w:rPr>
                <w:rFonts w:asciiTheme="minorHAnsi" w:hAnsiTheme="minorHAnsi" w:cstheme="minorHAnsi"/>
                <w:sz w:val="20"/>
                <w:szCs w:val="20"/>
              </w:rPr>
              <w:t>Field f</w:t>
            </w:r>
            <w:r w:rsidR="00AC0DED" w:rsidRPr="00F56197">
              <w:rPr>
                <w:rFonts w:asciiTheme="minorHAnsi" w:hAnsiTheme="minorHAnsi" w:cstheme="minorHAnsi"/>
                <w:sz w:val="20"/>
                <w:szCs w:val="20"/>
              </w:rPr>
              <w:t xml:space="preserve">ilter 0.45 </w:t>
            </w:r>
            <w:r w:rsidR="00081CFF">
              <w:rPr>
                <w:rFonts w:asciiTheme="minorHAnsi" w:hAnsiTheme="minorHAnsi" w:cstheme="minorHAnsi"/>
                <w:position w:val="1"/>
                <w:sz w:val="20"/>
                <w:szCs w:val="20"/>
              </w:rPr>
              <w:t>µ</w:t>
            </w:r>
            <w:r w:rsidR="00AC0DED" w:rsidRPr="00F56197">
              <w:rPr>
                <w:rFonts w:asciiTheme="minorHAnsi" w:hAnsiTheme="minorHAnsi" w:cstheme="minorHAnsi"/>
                <w:position w:val="1"/>
                <w:sz w:val="20"/>
                <w:szCs w:val="20"/>
              </w:rPr>
              <w:t>m,</w:t>
            </w:r>
            <w:r w:rsidR="00AC0DED" w:rsidRPr="00F56197">
              <w:rPr>
                <w:rFonts w:asciiTheme="minorHAnsi" w:hAnsiTheme="minorHAnsi" w:cstheme="minorHAnsi"/>
                <w:spacing w:val="-7"/>
                <w:position w:val="1"/>
                <w:sz w:val="20"/>
                <w:szCs w:val="20"/>
              </w:rPr>
              <w:t xml:space="preserve"> </w:t>
            </w:r>
            <w:r w:rsidR="00AC0DED" w:rsidRPr="00F56197">
              <w:rPr>
                <w:rFonts w:asciiTheme="minorHAnsi" w:hAnsiTheme="minorHAnsi" w:cstheme="minorHAnsi"/>
                <w:position w:val="1"/>
                <w:sz w:val="20"/>
                <w:szCs w:val="20"/>
              </w:rPr>
              <w:t>H</w:t>
            </w:r>
            <w:r w:rsidR="00AC0DED" w:rsidRPr="007C4D14">
              <w:rPr>
                <w:rFonts w:asciiTheme="minorHAnsi" w:hAnsiTheme="minorHAnsi" w:cstheme="minorHAnsi"/>
                <w:sz w:val="20"/>
                <w:szCs w:val="20"/>
                <w:vertAlign w:val="subscript"/>
              </w:rPr>
              <w:t>2</w:t>
            </w:r>
            <w:r w:rsidR="00AC0DED" w:rsidRPr="00F56197">
              <w:rPr>
                <w:rFonts w:asciiTheme="minorHAnsi" w:hAnsiTheme="minorHAnsi" w:cstheme="minorHAnsi"/>
                <w:position w:val="1"/>
                <w:sz w:val="20"/>
                <w:szCs w:val="20"/>
              </w:rPr>
              <w:t>SO</w:t>
            </w:r>
            <w:r w:rsidR="00AC0DED" w:rsidRPr="007C4D14">
              <w:rPr>
                <w:rFonts w:asciiTheme="minorHAnsi" w:hAnsiTheme="minorHAnsi" w:cstheme="minorHAnsi"/>
                <w:sz w:val="20"/>
                <w:szCs w:val="20"/>
                <w:vertAlign w:val="subscript"/>
              </w:rPr>
              <w:t>4</w:t>
            </w:r>
            <w:r w:rsidR="00AC0DED" w:rsidRPr="00F56197">
              <w:rPr>
                <w:rFonts w:asciiTheme="minorHAnsi" w:hAnsiTheme="minorHAnsi" w:cstheme="minorHAnsi"/>
                <w:position w:val="1"/>
                <w:sz w:val="20"/>
                <w:szCs w:val="20"/>
              </w:rPr>
              <w:t>,</w:t>
            </w:r>
          </w:p>
          <w:p w14:paraId="443AC0CF" w14:textId="032D9AF7" w:rsidR="00AC0DED" w:rsidRPr="00F56197" w:rsidRDefault="00AC0DED" w:rsidP="00AC0DED">
            <w:pPr>
              <w:pStyle w:val="TableParagraph"/>
              <w:spacing w:before="0" w:line="246" w:lineRule="exact"/>
              <w:ind w:left="76"/>
              <w:rPr>
                <w:rFonts w:asciiTheme="minorHAnsi" w:hAnsiTheme="minorHAnsi" w:cstheme="minorHAnsi"/>
                <w:sz w:val="20"/>
                <w:szCs w:val="20"/>
              </w:rPr>
            </w:pPr>
            <w:r w:rsidRPr="00F56197">
              <w:rPr>
                <w:rFonts w:asciiTheme="minorHAnsi" w:hAnsiTheme="minorHAnsi" w:cstheme="minorHAnsi"/>
                <w:sz w:val="20"/>
                <w:szCs w:val="20"/>
              </w:rPr>
              <w:t>≤6</w:t>
            </w:r>
            <w:r w:rsidRPr="00F56197">
              <w:rPr>
                <w:rFonts w:asciiTheme="minorHAnsi" w:hAnsiTheme="minorHAnsi" w:cstheme="minorHAnsi"/>
                <w:position w:val="7"/>
                <w:sz w:val="20"/>
                <w:szCs w:val="20"/>
              </w:rPr>
              <w:t>o</w:t>
            </w:r>
            <w:r w:rsidRPr="00F56197">
              <w:rPr>
                <w:rFonts w:asciiTheme="minorHAnsi" w:hAnsiTheme="minorHAnsi" w:cstheme="minorHAnsi"/>
                <w:sz w:val="20"/>
                <w:szCs w:val="20"/>
              </w:rPr>
              <w:t>C</w:t>
            </w:r>
            <w:r>
              <w:rPr>
                <w:rFonts w:asciiTheme="minorHAnsi" w:hAnsiTheme="minorHAnsi" w:cstheme="minorHAnsi"/>
                <w:sz w:val="20"/>
                <w:szCs w:val="20"/>
              </w:rPr>
              <w:t xml:space="preserve"> on ice</w:t>
            </w:r>
          </w:p>
        </w:tc>
      </w:tr>
      <w:tr w:rsidR="00AC0DED" w14:paraId="02B550D0" w14:textId="77777777" w:rsidTr="00F56197">
        <w:trPr>
          <w:trHeight w:hRule="exact" w:val="576"/>
          <w:jc w:val="center"/>
        </w:trPr>
        <w:tc>
          <w:tcPr>
            <w:tcW w:w="2973" w:type="dxa"/>
            <w:tcBorders>
              <w:top w:val="single" w:sz="4" w:space="0" w:color="auto"/>
              <w:left w:val="single" w:sz="4" w:space="0" w:color="auto"/>
              <w:bottom w:val="single" w:sz="4" w:space="0" w:color="auto"/>
              <w:right w:val="single" w:sz="4" w:space="0" w:color="auto"/>
            </w:tcBorders>
            <w:vAlign w:val="center"/>
            <w:hideMark/>
          </w:tcPr>
          <w:p w14:paraId="2F0D3367" w14:textId="77777777" w:rsidR="00AC0DED" w:rsidRPr="00F56197" w:rsidRDefault="00AC0DED" w:rsidP="00AC0DED">
            <w:pPr>
              <w:pStyle w:val="TableParagraph"/>
              <w:spacing w:before="121"/>
              <w:rPr>
                <w:rFonts w:asciiTheme="minorHAnsi" w:hAnsiTheme="minorHAnsi" w:cstheme="minorHAnsi"/>
                <w:sz w:val="20"/>
                <w:szCs w:val="20"/>
              </w:rPr>
            </w:pPr>
            <w:r w:rsidRPr="00F56197">
              <w:rPr>
                <w:rFonts w:asciiTheme="minorHAnsi" w:hAnsiTheme="minorHAnsi" w:cstheme="minorHAnsi"/>
                <w:sz w:val="20"/>
                <w:szCs w:val="20"/>
              </w:rPr>
              <w:t>Total Suspended Solids (TSS)</w:t>
            </w:r>
          </w:p>
        </w:tc>
        <w:tc>
          <w:tcPr>
            <w:tcW w:w="1231" w:type="dxa"/>
            <w:tcBorders>
              <w:top w:val="single" w:sz="4" w:space="0" w:color="auto"/>
              <w:left w:val="single" w:sz="4" w:space="0" w:color="auto"/>
              <w:bottom w:val="single" w:sz="4" w:space="0" w:color="auto"/>
              <w:right w:val="single" w:sz="4" w:space="0" w:color="auto"/>
            </w:tcBorders>
            <w:vAlign w:val="center"/>
          </w:tcPr>
          <w:p w14:paraId="5FD35837" w14:textId="77777777" w:rsidR="00AC0DED" w:rsidRPr="00F56197" w:rsidRDefault="00AC0DED" w:rsidP="00AC0DED">
            <w:pPr>
              <w:pStyle w:val="TableParagraph"/>
              <w:spacing w:before="0"/>
              <w:rPr>
                <w:rFonts w:asciiTheme="minorHAnsi" w:hAnsiTheme="minorHAnsi" w:cstheme="minorHAnsi"/>
                <w:sz w:val="20"/>
                <w:szCs w:val="20"/>
              </w:rPr>
            </w:pPr>
            <w:r w:rsidRPr="00F56197">
              <w:rPr>
                <w:rFonts w:asciiTheme="minorHAnsi" w:hAnsiTheme="minorHAnsi" w:cstheme="minorHAnsi"/>
                <w:sz w:val="20"/>
                <w:szCs w:val="20"/>
              </w:rPr>
              <w:t>A2540 D</w:t>
            </w:r>
          </w:p>
        </w:tc>
        <w:tc>
          <w:tcPr>
            <w:tcW w:w="1523" w:type="dxa"/>
            <w:tcBorders>
              <w:top w:val="single" w:sz="4" w:space="0" w:color="auto"/>
              <w:left w:val="single" w:sz="4" w:space="0" w:color="auto"/>
              <w:bottom w:val="single" w:sz="4" w:space="0" w:color="auto"/>
              <w:right w:val="single" w:sz="4" w:space="0" w:color="auto"/>
            </w:tcBorders>
            <w:vAlign w:val="center"/>
          </w:tcPr>
          <w:p w14:paraId="00195D9D" w14:textId="77777777" w:rsidR="00AC0DED" w:rsidRPr="00F56197" w:rsidRDefault="00AC0DED" w:rsidP="00AC0DED">
            <w:pPr>
              <w:pStyle w:val="TableParagraph"/>
              <w:spacing w:before="12"/>
              <w:rPr>
                <w:rFonts w:asciiTheme="minorHAnsi" w:hAnsiTheme="minorHAnsi" w:cstheme="minorHAnsi"/>
                <w:b/>
                <w:sz w:val="20"/>
                <w:szCs w:val="20"/>
              </w:rPr>
            </w:pPr>
          </w:p>
          <w:p w14:paraId="6828F14D" w14:textId="77777777" w:rsidR="00AC0DED" w:rsidRPr="00F56197" w:rsidRDefault="00AC0DED" w:rsidP="00AC0DED">
            <w:pPr>
              <w:pStyle w:val="TableParagraph"/>
              <w:spacing w:before="0"/>
              <w:rPr>
                <w:rFonts w:asciiTheme="minorHAnsi" w:hAnsiTheme="minorHAnsi" w:cstheme="minorHAnsi"/>
                <w:sz w:val="20"/>
                <w:szCs w:val="20"/>
              </w:rPr>
            </w:pPr>
            <w:r w:rsidRPr="00F56197">
              <w:rPr>
                <w:rFonts w:asciiTheme="minorHAnsi" w:hAnsiTheme="minorHAnsi" w:cstheme="minorHAnsi"/>
                <w:sz w:val="20"/>
                <w:szCs w:val="20"/>
              </w:rPr>
              <w:t>4000</w:t>
            </w:r>
          </w:p>
        </w:tc>
        <w:tc>
          <w:tcPr>
            <w:tcW w:w="1041" w:type="dxa"/>
            <w:tcBorders>
              <w:top w:val="single" w:sz="4" w:space="0" w:color="auto"/>
              <w:left w:val="single" w:sz="4" w:space="0" w:color="auto"/>
              <w:bottom w:val="single" w:sz="4" w:space="0" w:color="auto"/>
              <w:right w:val="single" w:sz="4" w:space="0" w:color="auto"/>
            </w:tcBorders>
            <w:vAlign w:val="center"/>
          </w:tcPr>
          <w:p w14:paraId="66868FEF" w14:textId="77777777" w:rsidR="00AC0DED" w:rsidRPr="00F56197" w:rsidRDefault="00AC0DED" w:rsidP="00AC0DED">
            <w:pPr>
              <w:pStyle w:val="TableParagraph"/>
              <w:spacing w:before="0"/>
              <w:rPr>
                <w:rFonts w:asciiTheme="minorHAnsi" w:hAnsiTheme="minorHAnsi" w:cstheme="minorHAnsi"/>
                <w:sz w:val="20"/>
                <w:szCs w:val="20"/>
              </w:rPr>
            </w:pPr>
            <w:r w:rsidRPr="00F56197">
              <w:rPr>
                <w:rFonts w:asciiTheme="minorHAnsi" w:hAnsiTheme="minorHAnsi" w:cstheme="minorHAnsi"/>
                <w:w w:val="99"/>
                <w:sz w:val="20"/>
                <w:szCs w:val="20"/>
              </w:rPr>
              <w:t>7</w:t>
            </w:r>
          </w:p>
        </w:tc>
        <w:tc>
          <w:tcPr>
            <w:tcW w:w="1342" w:type="dxa"/>
            <w:tcBorders>
              <w:top w:val="single" w:sz="4" w:space="0" w:color="auto"/>
              <w:left w:val="single" w:sz="4" w:space="0" w:color="auto"/>
              <w:bottom w:val="single" w:sz="4" w:space="0" w:color="auto"/>
              <w:right w:val="single" w:sz="4" w:space="0" w:color="auto"/>
            </w:tcBorders>
            <w:vAlign w:val="center"/>
            <w:hideMark/>
          </w:tcPr>
          <w:p w14:paraId="3F7CBB15" w14:textId="77777777" w:rsidR="00AC0DED" w:rsidRPr="00F56197" w:rsidRDefault="00AC0DED" w:rsidP="007C4D14">
            <w:pPr>
              <w:pStyle w:val="TableParagraph"/>
              <w:spacing w:before="0"/>
              <w:ind w:left="360" w:hanging="53"/>
              <w:jc w:val="left"/>
              <w:rPr>
                <w:rFonts w:asciiTheme="minorHAnsi" w:hAnsiTheme="minorHAnsi" w:cstheme="minorHAnsi"/>
                <w:sz w:val="20"/>
                <w:szCs w:val="20"/>
              </w:rPr>
            </w:pPr>
            <w:r w:rsidRPr="00F56197">
              <w:rPr>
                <w:rFonts w:asciiTheme="minorHAnsi" w:hAnsiTheme="minorHAnsi" w:cstheme="minorHAnsi"/>
                <w:sz w:val="20"/>
                <w:szCs w:val="20"/>
              </w:rPr>
              <w:t>500 ml HDPE</w:t>
            </w:r>
          </w:p>
        </w:tc>
        <w:tc>
          <w:tcPr>
            <w:tcW w:w="1485" w:type="dxa"/>
            <w:tcBorders>
              <w:top w:val="single" w:sz="4" w:space="0" w:color="auto"/>
              <w:left w:val="single" w:sz="4" w:space="0" w:color="auto"/>
              <w:bottom w:val="single" w:sz="4" w:space="0" w:color="auto"/>
              <w:right w:val="single" w:sz="4" w:space="0" w:color="auto"/>
            </w:tcBorders>
            <w:vAlign w:val="center"/>
          </w:tcPr>
          <w:p w14:paraId="436487AA" w14:textId="0953807A" w:rsidR="00AC0DED" w:rsidRPr="00F56197" w:rsidRDefault="00AC0DED" w:rsidP="00AC0DED">
            <w:pPr>
              <w:pStyle w:val="TableParagraph"/>
              <w:spacing w:before="0"/>
              <w:ind w:left="76"/>
              <w:rPr>
                <w:rFonts w:asciiTheme="minorHAnsi" w:hAnsiTheme="minorHAnsi" w:cstheme="minorHAnsi"/>
                <w:sz w:val="20"/>
                <w:szCs w:val="20"/>
              </w:rPr>
            </w:pPr>
            <w:r w:rsidRPr="00F56197">
              <w:rPr>
                <w:rFonts w:asciiTheme="minorHAnsi" w:hAnsiTheme="minorHAnsi" w:cstheme="minorHAnsi"/>
                <w:sz w:val="20"/>
                <w:szCs w:val="20"/>
              </w:rPr>
              <w:t>≤6</w:t>
            </w:r>
            <w:r w:rsidRPr="00F56197">
              <w:rPr>
                <w:rFonts w:asciiTheme="minorHAnsi" w:hAnsiTheme="minorHAnsi" w:cstheme="minorHAnsi"/>
                <w:position w:val="7"/>
                <w:sz w:val="20"/>
                <w:szCs w:val="20"/>
              </w:rPr>
              <w:t>o</w:t>
            </w:r>
            <w:r w:rsidRPr="00F56197">
              <w:rPr>
                <w:rFonts w:asciiTheme="minorHAnsi" w:hAnsiTheme="minorHAnsi" w:cstheme="minorHAnsi"/>
                <w:sz w:val="20"/>
                <w:szCs w:val="20"/>
              </w:rPr>
              <w:t>C</w:t>
            </w:r>
            <w:r>
              <w:rPr>
                <w:rFonts w:asciiTheme="minorHAnsi" w:hAnsiTheme="minorHAnsi" w:cstheme="minorHAnsi"/>
                <w:sz w:val="20"/>
                <w:szCs w:val="20"/>
              </w:rPr>
              <w:t xml:space="preserve"> on ice</w:t>
            </w:r>
          </w:p>
        </w:tc>
      </w:tr>
      <w:tr w:rsidR="00AC0DED" w14:paraId="34CA1700" w14:textId="77777777" w:rsidTr="00F56197">
        <w:trPr>
          <w:trHeight w:hRule="exact" w:val="576"/>
          <w:jc w:val="center"/>
        </w:trPr>
        <w:tc>
          <w:tcPr>
            <w:tcW w:w="2973" w:type="dxa"/>
            <w:tcBorders>
              <w:top w:val="single" w:sz="4" w:space="0" w:color="auto"/>
              <w:left w:val="single" w:sz="4" w:space="0" w:color="auto"/>
              <w:bottom w:val="single" w:sz="4" w:space="0" w:color="auto"/>
              <w:right w:val="single" w:sz="4" w:space="0" w:color="auto"/>
            </w:tcBorders>
            <w:vAlign w:val="center"/>
          </w:tcPr>
          <w:p w14:paraId="5DB88508" w14:textId="653283B5" w:rsidR="00AC0DED" w:rsidRPr="00F56197" w:rsidRDefault="00AC0DED" w:rsidP="00AC0DED">
            <w:pPr>
              <w:pStyle w:val="TableParagraph"/>
              <w:spacing w:before="0"/>
              <w:rPr>
                <w:rFonts w:asciiTheme="minorHAnsi" w:hAnsiTheme="minorHAnsi" w:cstheme="minorHAnsi"/>
                <w:b/>
                <w:sz w:val="20"/>
                <w:szCs w:val="20"/>
              </w:rPr>
            </w:pPr>
            <w:r w:rsidRPr="00F56197">
              <w:rPr>
                <w:rFonts w:asciiTheme="minorHAnsi" w:hAnsiTheme="minorHAnsi" w:cstheme="minorHAnsi"/>
                <w:sz w:val="20"/>
                <w:szCs w:val="20"/>
              </w:rPr>
              <w:t>Chlorophyll-a</w:t>
            </w:r>
            <w:r>
              <w:rPr>
                <w:rFonts w:asciiTheme="minorHAnsi" w:hAnsiTheme="minorHAnsi" w:cstheme="minorHAnsi"/>
                <w:sz w:val="20"/>
                <w:szCs w:val="20"/>
              </w:rPr>
              <w:t xml:space="preserve"> (phytoplankton)</w:t>
            </w:r>
          </w:p>
        </w:tc>
        <w:tc>
          <w:tcPr>
            <w:tcW w:w="1231" w:type="dxa"/>
            <w:tcBorders>
              <w:top w:val="single" w:sz="4" w:space="0" w:color="auto"/>
              <w:left w:val="single" w:sz="4" w:space="0" w:color="auto"/>
              <w:bottom w:val="single" w:sz="4" w:space="0" w:color="auto"/>
              <w:right w:val="single" w:sz="4" w:space="0" w:color="auto"/>
            </w:tcBorders>
            <w:vAlign w:val="center"/>
          </w:tcPr>
          <w:p w14:paraId="0AD46338" w14:textId="4651B8F6" w:rsidR="00AC0DED" w:rsidRPr="00F56197" w:rsidRDefault="00AC0DED" w:rsidP="00AC0DED">
            <w:pPr>
              <w:pStyle w:val="TableParagraph"/>
              <w:spacing w:before="0"/>
              <w:rPr>
                <w:rFonts w:asciiTheme="minorHAnsi" w:hAnsiTheme="minorHAnsi" w:cstheme="minorHAnsi"/>
                <w:b/>
                <w:sz w:val="20"/>
                <w:szCs w:val="20"/>
              </w:rPr>
            </w:pPr>
            <w:r w:rsidRPr="00F56197">
              <w:rPr>
                <w:rFonts w:asciiTheme="minorHAnsi" w:hAnsiTheme="minorHAnsi" w:cstheme="minorHAnsi"/>
                <w:sz w:val="20"/>
                <w:szCs w:val="20"/>
              </w:rPr>
              <w:t>A 10200 H</w:t>
            </w:r>
          </w:p>
        </w:tc>
        <w:tc>
          <w:tcPr>
            <w:tcW w:w="1523" w:type="dxa"/>
            <w:tcBorders>
              <w:top w:val="single" w:sz="4" w:space="0" w:color="auto"/>
              <w:left w:val="single" w:sz="4" w:space="0" w:color="auto"/>
              <w:bottom w:val="single" w:sz="4" w:space="0" w:color="auto"/>
              <w:right w:val="single" w:sz="4" w:space="0" w:color="auto"/>
            </w:tcBorders>
            <w:vAlign w:val="center"/>
          </w:tcPr>
          <w:p w14:paraId="10EF109F" w14:textId="77777777" w:rsidR="00AC0DED" w:rsidRPr="00F56197" w:rsidRDefault="00AC0DED" w:rsidP="00AC0DED">
            <w:pPr>
              <w:jc w:val="center"/>
              <w:rPr>
                <w:rFonts w:cstheme="minorHAnsi"/>
                <w:sz w:val="20"/>
              </w:rPr>
            </w:pPr>
          </w:p>
        </w:tc>
        <w:tc>
          <w:tcPr>
            <w:tcW w:w="1041" w:type="dxa"/>
            <w:tcBorders>
              <w:top w:val="single" w:sz="4" w:space="0" w:color="auto"/>
              <w:left w:val="single" w:sz="4" w:space="0" w:color="auto"/>
              <w:bottom w:val="single" w:sz="4" w:space="0" w:color="auto"/>
              <w:right w:val="single" w:sz="4" w:space="0" w:color="auto"/>
            </w:tcBorders>
            <w:vAlign w:val="center"/>
          </w:tcPr>
          <w:p w14:paraId="3E5D5CDC" w14:textId="77A55EBB" w:rsidR="00AC0DED" w:rsidRPr="00F56197" w:rsidRDefault="00AC0DED" w:rsidP="00AC0DED">
            <w:pPr>
              <w:pStyle w:val="TableParagraph"/>
              <w:spacing w:before="0"/>
              <w:ind w:firstLine="1"/>
              <w:rPr>
                <w:rFonts w:asciiTheme="minorHAnsi" w:hAnsiTheme="minorHAnsi" w:cstheme="minorHAnsi"/>
                <w:sz w:val="20"/>
                <w:szCs w:val="20"/>
              </w:rPr>
            </w:pPr>
            <w:r>
              <w:rPr>
                <w:rFonts w:asciiTheme="minorHAnsi" w:hAnsiTheme="minorHAnsi" w:cstheme="minorHAnsi"/>
                <w:sz w:val="20"/>
                <w:szCs w:val="20"/>
              </w:rPr>
              <w:t>45</w:t>
            </w:r>
          </w:p>
        </w:tc>
        <w:tc>
          <w:tcPr>
            <w:tcW w:w="1342" w:type="dxa"/>
            <w:tcBorders>
              <w:top w:val="single" w:sz="4" w:space="0" w:color="auto"/>
              <w:left w:val="single" w:sz="4" w:space="0" w:color="auto"/>
              <w:bottom w:val="single" w:sz="4" w:space="0" w:color="auto"/>
              <w:right w:val="single" w:sz="4" w:space="0" w:color="auto"/>
            </w:tcBorders>
            <w:vAlign w:val="center"/>
          </w:tcPr>
          <w:p w14:paraId="1EC02723" w14:textId="3232A033" w:rsidR="00AC0DED" w:rsidRPr="00F56197" w:rsidRDefault="00AC0DED" w:rsidP="00AC0DED">
            <w:pPr>
              <w:pStyle w:val="TableParagraph"/>
              <w:spacing w:before="0"/>
              <w:ind w:hanging="3"/>
              <w:rPr>
                <w:rFonts w:asciiTheme="minorHAnsi" w:hAnsiTheme="minorHAnsi" w:cstheme="minorHAnsi"/>
                <w:sz w:val="20"/>
                <w:szCs w:val="20"/>
              </w:rPr>
            </w:pPr>
            <w:r w:rsidRPr="00F56197">
              <w:rPr>
                <w:rFonts w:asciiTheme="minorHAnsi" w:hAnsiTheme="minorHAnsi" w:cstheme="minorHAnsi"/>
                <w:sz w:val="20"/>
                <w:szCs w:val="20"/>
              </w:rPr>
              <w:t xml:space="preserve">Filter in </w:t>
            </w:r>
            <w:r w:rsidRPr="00F56197">
              <w:rPr>
                <w:rFonts w:asciiTheme="minorHAnsi" w:hAnsiTheme="minorHAnsi" w:cstheme="minorHAnsi"/>
                <w:w w:val="95"/>
                <w:sz w:val="20"/>
                <w:szCs w:val="20"/>
              </w:rPr>
              <w:t xml:space="preserve">Centrifuge </w:t>
            </w:r>
            <w:r w:rsidRPr="00F56197">
              <w:rPr>
                <w:rFonts w:asciiTheme="minorHAnsi" w:hAnsiTheme="minorHAnsi" w:cstheme="minorHAnsi"/>
                <w:sz w:val="20"/>
                <w:szCs w:val="20"/>
              </w:rPr>
              <w:t>Tube</w:t>
            </w:r>
          </w:p>
        </w:tc>
        <w:tc>
          <w:tcPr>
            <w:tcW w:w="1485" w:type="dxa"/>
            <w:tcBorders>
              <w:top w:val="single" w:sz="4" w:space="0" w:color="auto"/>
              <w:left w:val="single" w:sz="4" w:space="0" w:color="auto"/>
              <w:bottom w:val="single" w:sz="4" w:space="0" w:color="auto"/>
              <w:right w:val="single" w:sz="4" w:space="0" w:color="auto"/>
            </w:tcBorders>
            <w:vAlign w:val="center"/>
          </w:tcPr>
          <w:p w14:paraId="4CAA1A91" w14:textId="52E5EFE4" w:rsidR="00AC0DED" w:rsidRPr="00F56197" w:rsidRDefault="00AC0DED" w:rsidP="00AC0DED">
            <w:pPr>
              <w:pStyle w:val="TableParagraph"/>
              <w:spacing w:before="0"/>
              <w:rPr>
                <w:rFonts w:asciiTheme="minorHAnsi" w:hAnsiTheme="minorHAnsi" w:cstheme="minorHAnsi"/>
                <w:sz w:val="20"/>
                <w:szCs w:val="20"/>
              </w:rPr>
            </w:pPr>
            <w:r>
              <w:rPr>
                <w:rFonts w:asciiTheme="minorHAnsi" w:hAnsiTheme="minorHAnsi" w:cstheme="minorHAnsi"/>
                <w:sz w:val="20"/>
                <w:szCs w:val="20"/>
              </w:rPr>
              <w:t xml:space="preserve">Wrap in foil, </w:t>
            </w:r>
            <w:r w:rsidRPr="00F56197">
              <w:rPr>
                <w:rFonts w:asciiTheme="minorHAnsi" w:hAnsiTheme="minorHAnsi" w:cstheme="minorHAnsi"/>
                <w:sz w:val="20"/>
                <w:szCs w:val="20"/>
              </w:rPr>
              <w:t>Freeze on dry ice</w:t>
            </w:r>
          </w:p>
        </w:tc>
      </w:tr>
      <w:tr w:rsidR="00AC0DED" w14:paraId="44CC0EE8" w14:textId="77777777" w:rsidTr="00F56197">
        <w:trPr>
          <w:trHeight w:hRule="exact" w:val="576"/>
          <w:jc w:val="center"/>
        </w:trPr>
        <w:tc>
          <w:tcPr>
            <w:tcW w:w="2973" w:type="dxa"/>
            <w:tcBorders>
              <w:top w:val="single" w:sz="4" w:space="0" w:color="auto"/>
              <w:left w:val="single" w:sz="4" w:space="0" w:color="auto"/>
              <w:bottom w:val="single" w:sz="4" w:space="0" w:color="auto"/>
              <w:right w:val="single" w:sz="4" w:space="0" w:color="auto"/>
            </w:tcBorders>
            <w:vAlign w:val="center"/>
          </w:tcPr>
          <w:p w14:paraId="06ED8B82" w14:textId="618DAEE7" w:rsidR="00AC0DED" w:rsidRPr="00F56197" w:rsidRDefault="00AC0DED" w:rsidP="00AC0DED">
            <w:pPr>
              <w:pStyle w:val="TableParagraph"/>
              <w:spacing w:before="0"/>
              <w:rPr>
                <w:rFonts w:asciiTheme="minorHAnsi" w:hAnsiTheme="minorHAnsi" w:cstheme="minorHAnsi"/>
                <w:b/>
                <w:sz w:val="20"/>
                <w:szCs w:val="20"/>
              </w:rPr>
            </w:pPr>
            <w:r w:rsidRPr="00F56197">
              <w:rPr>
                <w:rFonts w:asciiTheme="minorHAnsi" w:hAnsiTheme="minorHAnsi" w:cstheme="minorHAnsi"/>
                <w:sz w:val="20"/>
                <w:szCs w:val="20"/>
              </w:rPr>
              <w:t>Chlorophyll-a</w:t>
            </w:r>
            <w:r>
              <w:rPr>
                <w:rFonts w:asciiTheme="minorHAnsi" w:hAnsiTheme="minorHAnsi" w:cstheme="minorHAnsi"/>
                <w:sz w:val="20"/>
                <w:szCs w:val="20"/>
              </w:rPr>
              <w:t xml:space="preserve"> (benthic)</w:t>
            </w:r>
          </w:p>
        </w:tc>
        <w:tc>
          <w:tcPr>
            <w:tcW w:w="1231" w:type="dxa"/>
            <w:tcBorders>
              <w:top w:val="single" w:sz="4" w:space="0" w:color="auto"/>
              <w:left w:val="single" w:sz="4" w:space="0" w:color="auto"/>
              <w:bottom w:val="single" w:sz="4" w:space="0" w:color="auto"/>
              <w:right w:val="single" w:sz="4" w:space="0" w:color="auto"/>
            </w:tcBorders>
            <w:vAlign w:val="center"/>
          </w:tcPr>
          <w:p w14:paraId="3F639FDE" w14:textId="77777777" w:rsidR="00AC0DED" w:rsidRPr="00F56197" w:rsidRDefault="00AC0DED" w:rsidP="00AC0DED">
            <w:pPr>
              <w:pStyle w:val="TableParagraph"/>
              <w:spacing w:before="0"/>
              <w:rPr>
                <w:rFonts w:asciiTheme="minorHAnsi" w:hAnsiTheme="minorHAnsi" w:cstheme="minorHAnsi"/>
                <w:b/>
                <w:sz w:val="20"/>
                <w:szCs w:val="20"/>
              </w:rPr>
            </w:pPr>
            <w:r w:rsidRPr="00F56197">
              <w:rPr>
                <w:rFonts w:asciiTheme="minorHAnsi" w:hAnsiTheme="minorHAnsi" w:cstheme="minorHAnsi"/>
                <w:sz w:val="20"/>
                <w:szCs w:val="20"/>
              </w:rPr>
              <w:t>A 10200 H</w:t>
            </w:r>
          </w:p>
        </w:tc>
        <w:tc>
          <w:tcPr>
            <w:tcW w:w="1523" w:type="dxa"/>
            <w:tcBorders>
              <w:top w:val="single" w:sz="4" w:space="0" w:color="auto"/>
              <w:left w:val="single" w:sz="4" w:space="0" w:color="auto"/>
              <w:bottom w:val="single" w:sz="4" w:space="0" w:color="auto"/>
              <w:right w:val="single" w:sz="4" w:space="0" w:color="auto"/>
            </w:tcBorders>
            <w:vAlign w:val="center"/>
          </w:tcPr>
          <w:p w14:paraId="466AE485" w14:textId="77777777" w:rsidR="00AC0DED" w:rsidRPr="00F56197" w:rsidRDefault="00AC0DED" w:rsidP="00AC0DED">
            <w:pPr>
              <w:jc w:val="center"/>
              <w:rPr>
                <w:rFonts w:cstheme="minorHAnsi"/>
                <w:sz w:val="20"/>
              </w:rPr>
            </w:pPr>
          </w:p>
        </w:tc>
        <w:tc>
          <w:tcPr>
            <w:tcW w:w="1041" w:type="dxa"/>
            <w:tcBorders>
              <w:top w:val="single" w:sz="4" w:space="0" w:color="auto"/>
              <w:left w:val="single" w:sz="4" w:space="0" w:color="auto"/>
              <w:bottom w:val="single" w:sz="4" w:space="0" w:color="auto"/>
              <w:right w:val="single" w:sz="4" w:space="0" w:color="auto"/>
            </w:tcBorders>
            <w:vAlign w:val="center"/>
            <w:hideMark/>
          </w:tcPr>
          <w:p w14:paraId="0DCDAA65" w14:textId="3B852ACE" w:rsidR="00AC0DED" w:rsidRPr="00F56197" w:rsidRDefault="00AC0DED" w:rsidP="00AC0DED">
            <w:pPr>
              <w:pStyle w:val="TableParagraph"/>
              <w:spacing w:before="0"/>
              <w:ind w:firstLine="1"/>
              <w:rPr>
                <w:rFonts w:asciiTheme="minorHAnsi" w:hAnsiTheme="minorHAnsi" w:cstheme="minorHAnsi"/>
                <w:sz w:val="20"/>
                <w:szCs w:val="20"/>
              </w:rPr>
            </w:pPr>
            <w:r>
              <w:rPr>
                <w:rFonts w:asciiTheme="minorHAnsi" w:hAnsiTheme="minorHAnsi" w:cstheme="minorHAnsi"/>
                <w:sz w:val="20"/>
                <w:szCs w:val="20"/>
              </w:rPr>
              <w:t>45</w:t>
            </w:r>
          </w:p>
        </w:tc>
        <w:tc>
          <w:tcPr>
            <w:tcW w:w="1342" w:type="dxa"/>
            <w:tcBorders>
              <w:top w:val="single" w:sz="4" w:space="0" w:color="auto"/>
              <w:left w:val="single" w:sz="4" w:space="0" w:color="auto"/>
              <w:bottom w:val="single" w:sz="4" w:space="0" w:color="auto"/>
              <w:right w:val="single" w:sz="4" w:space="0" w:color="auto"/>
            </w:tcBorders>
            <w:vAlign w:val="center"/>
            <w:hideMark/>
          </w:tcPr>
          <w:p w14:paraId="260EA3A2" w14:textId="48674187" w:rsidR="00AC0DED" w:rsidRPr="00F56197" w:rsidRDefault="00AC0DED" w:rsidP="00AC0DED">
            <w:pPr>
              <w:pStyle w:val="TableParagraph"/>
              <w:spacing w:before="0"/>
              <w:ind w:hanging="3"/>
              <w:rPr>
                <w:rFonts w:asciiTheme="minorHAnsi" w:hAnsiTheme="minorHAnsi" w:cstheme="minorHAnsi"/>
                <w:sz w:val="20"/>
                <w:szCs w:val="20"/>
              </w:rPr>
            </w:pPr>
            <w:r w:rsidRPr="00F56197">
              <w:rPr>
                <w:rFonts w:asciiTheme="minorHAnsi" w:hAnsiTheme="minorHAnsi" w:cstheme="minorHAnsi"/>
                <w:sz w:val="20"/>
                <w:szCs w:val="20"/>
              </w:rPr>
              <w:t>Filte</w:t>
            </w:r>
            <w:r>
              <w:rPr>
                <w:rFonts w:asciiTheme="minorHAnsi" w:hAnsiTheme="minorHAnsi" w:cstheme="minorHAnsi"/>
                <w:sz w:val="20"/>
                <w:szCs w:val="20"/>
              </w:rPr>
              <w:t xml:space="preserve">r in </w:t>
            </w:r>
            <w:r w:rsidRPr="00F56197">
              <w:rPr>
                <w:rFonts w:asciiTheme="minorHAnsi" w:hAnsiTheme="minorHAnsi" w:cstheme="minorHAnsi"/>
                <w:w w:val="95"/>
                <w:sz w:val="20"/>
                <w:szCs w:val="20"/>
              </w:rPr>
              <w:t xml:space="preserve">Centrifuge </w:t>
            </w:r>
            <w:r w:rsidRPr="00F56197">
              <w:rPr>
                <w:rFonts w:asciiTheme="minorHAnsi" w:hAnsiTheme="minorHAnsi" w:cstheme="minorHAnsi"/>
                <w:sz w:val="20"/>
                <w:szCs w:val="20"/>
              </w:rPr>
              <w:t>Tube</w:t>
            </w:r>
          </w:p>
        </w:tc>
        <w:tc>
          <w:tcPr>
            <w:tcW w:w="1485" w:type="dxa"/>
            <w:tcBorders>
              <w:top w:val="single" w:sz="4" w:space="0" w:color="auto"/>
              <w:left w:val="single" w:sz="4" w:space="0" w:color="auto"/>
              <w:bottom w:val="single" w:sz="4" w:space="0" w:color="auto"/>
              <w:right w:val="single" w:sz="4" w:space="0" w:color="auto"/>
            </w:tcBorders>
            <w:vAlign w:val="center"/>
            <w:hideMark/>
          </w:tcPr>
          <w:p w14:paraId="1AA84782" w14:textId="4BD843D0" w:rsidR="00AC0DED" w:rsidRPr="00F56197" w:rsidRDefault="00AC0DED" w:rsidP="00AC0DED">
            <w:pPr>
              <w:pStyle w:val="TableParagraph"/>
              <w:spacing w:before="0"/>
              <w:rPr>
                <w:rFonts w:asciiTheme="minorHAnsi" w:hAnsiTheme="minorHAnsi" w:cstheme="minorHAnsi"/>
                <w:b/>
                <w:sz w:val="20"/>
                <w:szCs w:val="20"/>
              </w:rPr>
            </w:pPr>
            <w:r>
              <w:rPr>
                <w:rFonts w:asciiTheme="minorHAnsi" w:hAnsiTheme="minorHAnsi" w:cstheme="minorHAnsi"/>
                <w:sz w:val="20"/>
                <w:szCs w:val="20"/>
              </w:rPr>
              <w:t xml:space="preserve">Wrap in foil, </w:t>
            </w:r>
            <w:r w:rsidRPr="00F56197">
              <w:rPr>
                <w:rFonts w:asciiTheme="minorHAnsi" w:hAnsiTheme="minorHAnsi" w:cstheme="minorHAnsi"/>
                <w:sz w:val="20"/>
                <w:szCs w:val="20"/>
              </w:rPr>
              <w:t>Freeze on dry ice</w:t>
            </w:r>
          </w:p>
        </w:tc>
      </w:tr>
    </w:tbl>
    <w:p w14:paraId="2F458B0A" w14:textId="5BA5F294" w:rsidR="007C4519" w:rsidRDefault="007C4519" w:rsidP="00C04070">
      <w:pPr>
        <w:rPr>
          <w:rFonts w:cstheme="minorHAnsi"/>
          <w:b/>
          <w:szCs w:val="22"/>
        </w:rPr>
      </w:pPr>
    </w:p>
    <w:p w14:paraId="08580B89" w14:textId="77777777" w:rsidR="00F56197" w:rsidRPr="00181546" w:rsidRDefault="00F56197" w:rsidP="00C04070">
      <w:pPr>
        <w:rPr>
          <w:rFonts w:cstheme="minorHAnsi"/>
          <w:b/>
          <w:szCs w:val="22"/>
        </w:rPr>
      </w:pPr>
    </w:p>
    <w:p w14:paraId="1F9BE9E0" w14:textId="1A840018" w:rsidR="00373F34" w:rsidRPr="00997346" w:rsidRDefault="00826EE0" w:rsidP="00920FC9">
      <w:pPr>
        <w:pStyle w:val="Heading1"/>
      </w:pPr>
      <w:bookmarkStart w:id="51" w:name="_Toc109055221"/>
      <w:r>
        <w:lastRenderedPageBreak/>
        <w:t>5</w:t>
      </w:r>
      <w:r w:rsidR="004D1B93">
        <w:t>.0</w:t>
      </w:r>
      <w:r w:rsidR="00072186">
        <w:t xml:space="preserve"> </w:t>
      </w:r>
      <w:r w:rsidR="00373F34" w:rsidRPr="00997346">
        <w:t>Quality Assurance/Quality Control</w:t>
      </w:r>
      <w:r w:rsidR="006A7672">
        <w:t xml:space="preserve"> (QA/QC)</w:t>
      </w:r>
      <w:bookmarkEnd w:id="51"/>
    </w:p>
    <w:p w14:paraId="3382C19E" w14:textId="77777777" w:rsidR="003F6B66" w:rsidRPr="00CA3B6B" w:rsidRDefault="003F6B66" w:rsidP="003F6B66">
      <w:pPr>
        <w:pStyle w:val="Heading2"/>
      </w:pPr>
      <w:bookmarkStart w:id="52" w:name="_Toc35239908"/>
      <w:bookmarkStart w:id="53" w:name="_Toc109055222"/>
      <w:r>
        <w:t>5</w:t>
      </w:r>
      <w:r w:rsidRPr="008578F7">
        <w:t xml:space="preserve">.1 </w:t>
      </w:r>
      <w:r>
        <w:t>Overview</w:t>
      </w:r>
      <w:bookmarkEnd w:id="52"/>
      <w:bookmarkEnd w:id="53"/>
    </w:p>
    <w:p w14:paraId="3A4A8D89" w14:textId="77777777" w:rsidR="003F6B66" w:rsidRPr="002412E5" w:rsidRDefault="003F6B66" w:rsidP="003F6B66">
      <w:bookmarkStart w:id="54" w:name="_Toc35239909"/>
      <w:r w:rsidRPr="002412E5">
        <w:t xml:space="preserve">Projects require adequate documentation, proper sample collection, handling, and analysis, and other measured to produce high quality, credible data that accurately represent conditions in the watershed and can be used to answer scientific questions or guide resource management decisions.  </w:t>
      </w:r>
    </w:p>
    <w:p w14:paraId="59249104" w14:textId="77777777" w:rsidR="003F6B66" w:rsidRPr="002412E5" w:rsidRDefault="003F6B66" w:rsidP="003F6B66"/>
    <w:p w14:paraId="6ADC34E5" w14:textId="77777777" w:rsidR="003F6B66" w:rsidRPr="002412E5" w:rsidRDefault="003F6B66" w:rsidP="003F6B66">
      <w:r w:rsidRPr="002412E5">
        <w:t>Quality Assurance (QA) is the overall system used to ensure a monitoring project produces data of the desired level of quality necessary to meet project goals and objectives. For example, QA activities include developing a sampling and analysis plan, properly training volunteers, communicating analytical requirements to the lab, and adhering to standard operating procedures.</w:t>
      </w:r>
    </w:p>
    <w:p w14:paraId="1CE62B5B" w14:textId="77777777" w:rsidR="003F6B66" w:rsidRPr="002412E5" w:rsidRDefault="003F6B66" w:rsidP="003F6B66"/>
    <w:p w14:paraId="451A06C5" w14:textId="77777777" w:rsidR="003F6B66" w:rsidRPr="002412E5" w:rsidRDefault="003F6B66" w:rsidP="003F6B66">
      <w:r w:rsidRPr="002412E5">
        <w:t xml:space="preserve">Quality control (QC) are technical activities used to detect and control errors. For example, QC activities include collecting field duplicates, preparing field blanks, reviewing field forms for accuracy, and calibrating equipment. Good QC will help to identify problems with the data if they arise and help identify what the cause of the problem likely is. </w:t>
      </w:r>
    </w:p>
    <w:p w14:paraId="12827CB3" w14:textId="77777777" w:rsidR="003F6B66" w:rsidRPr="002412E5" w:rsidRDefault="003F6B66" w:rsidP="003F6B66"/>
    <w:p w14:paraId="32F69D4B" w14:textId="77777777" w:rsidR="003F6B66" w:rsidRPr="002412E5" w:rsidRDefault="003F6B66" w:rsidP="003F6B66">
      <w:r w:rsidRPr="002412E5">
        <w:t xml:space="preserve">A list of QA/QC terms and definitions is included in </w:t>
      </w:r>
      <w:r w:rsidRPr="002412E5">
        <w:rPr>
          <w:b/>
        </w:rPr>
        <w:t xml:space="preserve">Appendix </w:t>
      </w:r>
      <w:r>
        <w:rPr>
          <w:b/>
        </w:rPr>
        <w:t>C</w:t>
      </w:r>
      <w:r w:rsidRPr="002412E5">
        <w:t xml:space="preserve">. </w:t>
      </w:r>
    </w:p>
    <w:p w14:paraId="41C75510" w14:textId="4CED2259" w:rsidR="00AC0DED" w:rsidRDefault="003F6B66" w:rsidP="00AC0DED">
      <w:pPr>
        <w:pStyle w:val="Heading2"/>
      </w:pPr>
      <w:bookmarkStart w:id="55" w:name="_Toc109055223"/>
      <w:r>
        <w:t>5.2 Training</w:t>
      </w:r>
      <w:bookmarkEnd w:id="55"/>
    </w:p>
    <w:p w14:paraId="41B145EA" w14:textId="17171EEE" w:rsidR="003F6B66" w:rsidRPr="00AC0DED" w:rsidRDefault="00AC0DED" w:rsidP="007C4D14">
      <w:pPr>
        <w:pStyle w:val="BodyText"/>
        <w:spacing w:before="55"/>
        <w:ind w:left="0" w:right="60"/>
        <w:rPr>
          <w:szCs w:val="22"/>
        </w:rPr>
      </w:pPr>
      <w:r>
        <w:rPr>
          <w:szCs w:val="22"/>
        </w:rPr>
        <w:t xml:space="preserve">All volunteers have been trained in all field methods, including field meters, sample collection and handling, prior to the initial sampling event. Volunteers will demonstrate understanding of and proficiency in field methods to volunteer monitoring program manager(s) prior to sampling. Volunteers will be required to bring a copy of this SAP as well as any supplemental documentation of detailed field methods and/or standard operating procedures. </w:t>
      </w:r>
    </w:p>
    <w:p w14:paraId="48D40271" w14:textId="77777777" w:rsidR="003F6B66" w:rsidRDefault="003F6B66" w:rsidP="003F6B66">
      <w:pPr>
        <w:pStyle w:val="Heading2"/>
      </w:pPr>
      <w:bookmarkStart w:id="56" w:name="_Toc109055224"/>
      <w:bookmarkStart w:id="57" w:name="_Hlk34741421"/>
      <w:r>
        <w:t>5.3 QC Samples: Field Duplicates</w:t>
      </w:r>
      <w:bookmarkEnd w:id="56"/>
    </w:p>
    <w:p w14:paraId="412940AF" w14:textId="77777777" w:rsidR="003F6B66" w:rsidRDefault="003F6B66" w:rsidP="003F6B66">
      <w:r>
        <w:t xml:space="preserve">Field duplicates are two samples (i.e., a routine sample and a duplicate sample) of ambient water collected from a waterbody as close as possible to the same time and place by the same person and carried through identical sampling and analytical procedures. Field duplicate samples are labeled, collected, </w:t>
      </w:r>
      <w:proofErr w:type="gramStart"/>
      <w:r>
        <w:t>handled</w:t>
      </w:r>
      <w:proofErr w:type="gramEnd"/>
      <w:r>
        <w:t xml:space="preserve"> and stored in the same way as the routine samples and are sent to the laboratory at the same time. </w:t>
      </w:r>
    </w:p>
    <w:p w14:paraId="66A34254" w14:textId="77777777" w:rsidR="003F6B66" w:rsidRDefault="003F6B66" w:rsidP="003F6B66"/>
    <w:p w14:paraId="203478AB" w14:textId="3D45D233" w:rsidR="003F6B66" w:rsidRDefault="003F6B66" w:rsidP="003F6B66">
      <w:r>
        <w:t xml:space="preserve">Field duplicates are typically collected at a rate of approximately 10% of the total number of routine samples collected. Therefore, to achieve this, one set of field duplicates will be collected during each sampling event. Duplicates may be collected at any of the monitoring locations shown in </w:t>
      </w:r>
      <w:r w:rsidRPr="00430EF9">
        <w:rPr>
          <w:b/>
        </w:rPr>
        <w:t>Section 2.2</w:t>
      </w:r>
      <w:r>
        <w:t xml:space="preserve">. See </w:t>
      </w:r>
      <w:r w:rsidRPr="00430EF9">
        <w:rPr>
          <w:b/>
        </w:rPr>
        <w:t xml:space="preserve">Section </w:t>
      </w:r>
      <w:r>
        <w:rPr>
          <w:b/>
        </w:rPr>
        <w:t>4</w:t>
      </w:r>
      <w:r w:rsidRPr="00430EF9">
        <w:rPr>
          <w:b/>
        </w:rPr>
        <w:t>.0</w:t>
      </w:r>
      <w:r>
        <w:t xml:space="preserve"> for analytical requirements. </w:t>
      </w:r>
    </w:p>
    <w:p w14:paraId="1805FE08" w14:textId="77777777" w:rsidR="003F6B66" w:rsidRDefault="003F6B66" w:rsidP="003F6B66"/>
    <w:p w14:paraId="38EF3E71" w14:textId="77777777" w:rsidR="003F6B66" w:rsidRDefault="003F6B66" w:rsidP="003F6B66">
      <w:pPr>
        <w:spacing w:after="120"/>
      </w:pPr>
      <w:r>
        <w:t xml:space="preserve">Field duplicates are used to determine field precision to ensure that proper procedures are followed consistently. For each field duplicate set collected, the relative percent difference will be calculated: </w:t>
      </w:r>
    </w:p>
    <w:p w14:paraId="4D3B3E1B" w14:textId="77777777" w:rsidR="003F6B66" w:rsidRDefault="003F6B66" w:rsidP="003F6B66">
      <w:pPr>
        <w:jc w:val="center"/>
      </w:pPr>
      <w:r>
        <w:t>Relative Percent Different (RPD) = ((D1 – D2) / ((D1 + D2)/2)) x 100</w:t>
      </w:r>
    </w:p>
    <w:p w14:paraId="74CA6F77" w14:textId="77777777" w:rsidR="003F6B66" w:rsidRDefault="003F6B66" w:rsidP="003F6B66">
      <w:pPr>
        <w:jc w:val="center"/>
      </w:pPr>
      <w:r>
        <w:t>where: D1 = routine sample result value</w:t>
      </w:r>
    </w:p>
    <w:p w14:paraId="15232A62" w14:textId="77777777" w:rsidR="003F6B66" w:rsidRDefault="003F6B66" w:rsidP="003F6B66">
      <w:pPr>
        <w:jc w:val="center"/>
      </w:pPr>
      <w:r>
        <w:t>D2 = duplicate sample result value</w:t>
      </w:r>
    </w:p>
    <w:p w14:paraId="011DB8B6" w14:textId="77777777" w:rsidR="003F6B66" w:rsidRDefault="003F6B66" w:rsidP="003F6B66"/>
    <w:p w14:paraId="6C43E00D" w14:textId="77777777" w:rsidR="003F6B66" w:rsidRDefault="003F6B66" w:rsidP="003F6B66">
      <w:r>
        <w:lastRenderedPageBreak/>
        <w:t xml:space="preserve">Precision will be assessed by ensuring that relative percent difference (RPD) between duplicates is less than 25%. If the RPD of field duplicates is greater than 25% and the parent and duplicate result values are greater than five times the lower reporting limit, the result values will be flagged with a “J”. </w:t>
      </w:r>
    </w:p>
    <w:p w14:paraId="4DCD16A9" w14:textId="404B8E4B" w:rsidR="003F6B66" w:rsidRPr="002412E5" w:rsidRDefault="003F6B66" w:rsidP="00AC0DED">
      <w:pPr>
        <w:pStyle w:val="Heading2"/>
      </w:pPr>
      <w:bookmarkStart w:id="58" w:name="_Toc109055225"/>
      <w:r>
        <w:t>5.4 QC Samples: Field Blanks</w:t>
      </w:r>
      <w:bookmarkEnd w:id="58"/>
    </w:p>
    <w:p w14:paraId="4FEB2610" w14:textId="77777777" w:rsidR="003F6B66" w:rsidRDefault="003F6B66" w:rsidP="003F6B66">
      <w:r>
        <w:t xml:space="preserve">Field blanks are </w:t>
      </w:r>
      <w:r w:rsidRPr="00430EF9">
        <w:t>sample</w:t>
      </w:r>
      <w:r>
        <w:t>s</w:t>
      </w:r>
      <w:r w:rsidRPr="00430EF9">
        <w:t xml:space="preserve"> of analyte-free</w:t>
      </w:r>
      <w:r>
        <w:t>,</w:t>
      </w:r>
      <w:r w:rsidRPr="00430EF9">
        <w:t xml:space="preserve"> </w:t>
      </w:r>
      <w:r>
        <w:t xml:space="preserve">laboratory-grade </w:t>
      </w:r>
      <w:r w:rsidRPr="00430EF9">
        <w:t xml:space="preserve">deionized water poured into a sample container in the field using the same method, container, and preservation as routine samples, and shipped to the lab along with other field </w:t>
      </w:r>
      <w:r>
        <w:t xml:space="preserve">(i.e., </w:t>
      </w:r>
      <w:proofErr w:type="gramStart"/>
      <w:r>
        <w:t>routine</w:t>
      </w:r>
      <w:proofErr w:type="gramEnd"/>
      <w:r>
        <w:t xml:space="preserve"> and duplicate) </w:t>
      </w:r>
      <w:r w:rsidRPr="00430EF9">
        <w:t xml:space="preserve">samples. </w:t>
      </w:r>
      <w:r>
        <w:t xml:space="preserve">All labeling, rinsing, preservation, and storage requirements applied for routine and duplicate samples are applied to field blanks; the only difference is that the water is deionized water rather than ambient stream water. Field blanks must be prepared while in the field. </w:t>
      </w:r>
    </w:p>
    <w:p w14:paraId="0B201765" w14:textId="77777777" w:rsidR="003F6B66" w:rsidRDefault="003F6B66" w:rsidP="003F6B66"/>
    <w:p w14:paraId="692E4086" w14:textId="687269E0" w:rsidR="003F6B66" w:rsidRDefault="003F6B66" w:rsidP="003F6B66">
      <w:pPr>
        <w:rPr>
          <w:rFonts w:cs="Calibri"/>
        </w:rPr>
      </w:pPr>
      <w:r>
        <w:t xml:space="preserve">One set of field blanks is submitted to the laboratory with each batch of samples delivered to the laboratory. Therefore, one set of field blanks will be prepared at or near the end of </w:t>
      </w:r>
      <w:r w:rsidR="00B97E98">
        <w:t>the</w:t>
      </w:r>
      <w:r>
        <w:t xml:space="preserve"> sampling event and submitted to the laboratory alongside the other routine and duplicate samples from that trip. </w:t>
      </w:r>
      <w:r>
        <w:rPr>
          <w:rFonts w:cs="Calibri"/>
        </w:rPr>
        <w:t xml:space="preserve">See </w:t>
      </w:r>
      <w:r w:rsidRPr="00430EF9">
        <w:rPr>
          <w:rFonts w:cs="Calibri"/>
          <w:b/>
        </w:rPr>
        <w:t xml:space="preserve">Section </w:t>
      </w:r>
      <w:r>
        <w:rPr>
          <w:rFonts w:cs="Calibri"/>
          <w:b/>
        </w:rPr>
        <w:t>4</w:t>
      </w:r>
      <w:r w:rsidRPr="00430EF9">
        <w:rPr>
          <w:rFonts w:cs="Calibri"/>
          <w:b/>
        </w:rPr>
        <w:t>.0</w:t>
      </w:r>
      <w:r>
        <w:rPr>
          <w:rFonts w:cs="Calibri"/>
        </w:rPr>
        <w:t xml:space="preserve"> for analytical requirements. </w:t>
      </w:r>
    </w:p>
    <w:p w14:paraId="2E6E55C8" w14:textId="77777777" w:rsidR="003F6B66" w:rsidRDefault="003F6B66" w:rsidP="003F6B66"/>
    <w:p w14:paraId="59DDB238" w14:textId="77777777" w:rsidR="003F6B66" w:rsidRDefault="003F6B66" w:rsidP="003F6B66">
      <w:pPr>
        <w:rPr>
          <w:rFonts w:cs="Calibri"/>
        </w:rPr>
      </w:pPr>
      <w:r>
        <w:rPr>
          <w:rFonts w:cs="Calibri"/>
        </w:rPr>
        <w:t xml:space="preserve">Field blanks are used to determine the integrity of the field personnel’s handling of samples, the condition of the sample containers supplied by the laboratory, and the accuracy of the laboratory methods. Accuracy will be assessed by ensuring that field blanks return values less than the lower reporting limit (i.e., non-detects) (shown in </w:t>
      </w:r>
      <w:r>
        <w:rPr>
          <w:rFonts w:cs="Calibri"/>
          <w:b/>
        </w:rPr>
        <w:t>Section 4.0</w:t>
      </w:r>
      <w:r>
        <w:rPr>
          <w:rFonts w:cs="Calibri"/>
        </w:rPr>
        <w:t>). If an analyte is detected in a field blank, all result values for that analyte from that batch of samples associated with the field blank will be qualified with a “B” flag. The exception is that data with a value greater than 10 times the detected value in the blank does not need to be qualified.</w:t>
      </w:r>
    </w:p>
    <w:p w14:paraId="290B0302" w14:textId="77777777" w:rsidR="003F6B66" w:rsidRPr="007B0E0D" w:rsidRDefault="003F6B66" w:rsidP="003F6B66">
      <w:pPr>
        <w:pStyle w:val="Heading2"/>
      </w:pPr>
      <w:bookmarkStart w:id="59" w:name="_Toc32417538"/>
      <w:bookmarkStart w:id="60" w:name="_Toc109055226"/>
      <w:r w:rsidRPr="007B0E0D">
        <w:t>5.5 Instrument Calibration and Maintenance</w:t>
      </w:r>
      <w:bookmarkEnd w:id="59"/>
      <w:bookmarkEnd w:id="60"/>
    </w:p>
    <w:p w14:paraId="7958A1A1" w14:textId="27C7418F" w:rsidR="003F6B66" w:rsidRDefault="00AC0DED" w:rsidP="003F6B66">
      <w:pPr>
        <w:rPr>
          <w:rFonts w:cs="Calibri"/>
          <w:color w:val="FF0000"/>
        </w:rPr>
      </w:pPr>
      <w:r w:rsidRPr="007B0E0D">
        <w:rPr>
          <w:rFonts w:cs="Calibri"/>
        </w:rPr>
        <w:t xml:space="preserve">The water quality field meter (YSI Pro-Plus) will be calibrated in the field prior to sample collection. The meter is factory calibrated for </w:t>
      </w:r>
      <w:proofErr w:type="gramStart"/>
      <w:r w:rsidRPr="007B0E0D">
        <w:rPr>
          <w:rFonts w:cs="Calibri"/>
        </w:rPr>
        <w:t xml:space="preserve">temperature, </w:t>
      </w:r>
      <w:r w:rsidR="007B0E0D" w:rsidRPr="007B0E0D">
        <w:rPr>
          <w:rFonts w:cs="Calibri"/>
        </w:rPr>
        <w:t>but</w:t>
      </w:r>
      <w:proofErr w:type="gramEnd"/>
      <w:r w:rsidR="007B0E0D" w:rsidRPr="007B0E0D">
        <w:rPr>
          <w:rFonts w:cs="Calibri"/>
        </w:rPr>
        <w:t xml:space="preserve"> will use fresh calibration solution in the field to perform calibration of the pH, specific conductance, and dissolved oxygen sensors. pH and specific conductance sensors will be calibrated using solutions that bracket the target readings in our sample area, and the dissolved oxygen sensor will be calibrated to 100% saturation at the barometric pressure recorded at the time of calibration. </w:t>
      </w:r>
      <w:r w:rsidR="003F6B66" w:rsidRPr="007B0E0D">
        <w:rPr>
          <w:rFonts w:cs="Calibri"/>
        </w:rPr>
        <w:t xml:space="preserve"> </w:t>
      </w:r>
    </w:p>
    <w:p w14:paraId="583DA51B" w14:textId="77777777" w:rsidR="003F6B66" w:rsidRDefault="003F6B66" w:rsidP="003F6B66">
      <w:pPr>
        <w:pStyle w:val="Heading2"/>
      </w:pPr>
      <w:bookmarkStart w:id="61" w:name="_Toc32417539"/>
      <w:bookmarkStart w:id="62" w:name="_Toc109055227"/>
      <w:r>
        <w:t>5.6 Data Quality Indicators</w:t>
      </w:r>
      <w:bookmarkEnd w:id="61"/>
      <w:bookmarkEnd w:id="62"/>
    </w:p>
    <w:p w14:paraId="1A866FEA" w14:textId="77777777" w:rsidR="003F6B66" w:rsidRDefault="003F6B66" w:rsidP="003F6B66">
      <w:bookmarkStart w:id="63" w:name="_Hlk34741531"/>
      <w:r w:rsidRPr="0071196D">
        <w:t xml:space="preserve">Data quality indicators (DQIs) are </w:t>
      </w:r>
      <w:r w:rsidRPr="0090779E">
        <w:t xml:space="preserve">attributes of samples that allow </w:t>
      </w:r>
      <w:r>
        <w:t xml:space="preserve">data users to </w:t>
      </w:r>
      <w:r w:rsidRPr="0090779E">
        <w:t xml:space="preserve">assess data quality. </w:t>
      </w:r>
      <w:r w:rsidRPr="0071196D">
        <w:t xml:space="preserve">Because there are large sources of variability in streams and rivers, DQIs </w:t>
      </w:r>
      <w:r>
        <w:t xml:space="preserve">are used to </w:t>
      </w:r>
      <w:r w:rsidRPr="0071196D">
        <w:t>evaluate the sources of variabilit</w:t>
      </w:r>
      <w:r>
        <w:t>y and error and thereby increasing</w:t>
      </w:r>
      <w:r w:rsidRPr="0071196D">
        <w:t xml:space="preserve"> confidence in our data.</w:t>
      </w:r>
    </w:p>
    <w:p w14:paraId="32802D24" w14:textId="77777777" w:rsidR="003F6B66" w:rsidRDefault="003F6B66" w:rsidP="003F6B66"/>
    <w:p w14:paraId="7A507C57" w14:textId="77777777" w:rsidR="003F6B66" w:rsidRPr="00D900AC" w:rsidRDefault="003F6B66" w:rsidP="003F6B66">
      <w:r w:rsidRPr="00D900AC">
        <w:t xml:space="preserve">This section describes how the sampling and analysis </w:t>
      </w:r>
      <w:proofErr w:type="gramStart"/>
      <w:r w:rsidRPr="00D900AC">
        <w:t>plan</w:t>
      </w:r>
      <w:proofErr w:type="gramEnd"/>
      <w:r w:rsidRPr="00D900AC">
        <w:t xml:space="preserve"> and study design aims to achieve data quality</w:t>
      </w:r>
      <w:r>
        <w:t xml:space="preserve"> fo</w:t>
      </w:r>
      <w:r w:rsidRPr="00D900AC">
        <w:t>r each data quality indicator (representativeness, comparability, completeness, sensitivity, precision and accuracy)</w:t>
      </w:r>
      <w:r>
        <w:t xml:space="preserve">. </w:t>
      </w:r>
    </w:p>
    <w:p w14:paraId="7CBF13A2" w14:textId="77777777" w:rsidR="003F6B66" w:rsidRDefault="003F6B66" w:rsidP="003F6B66"/>
    <w:p w14:paraId="49611BC5" w14:textId="77777777" w:rsidR="003F6B66" w:rsidRPr="004340C7" w:rsidRDefault="003F6B66" w:rsidP="003F6B66">
      <w:pPr>
        <w:rPr>
          <w:b/>
        </w:rPr>
      </w:pPr>
      <w:r w:rsidRPr="004340C7">
        <w:rPr>
          <w:b/>
        </w:rPr>
        <w:t>Representativeness</w:t>
      </w:r>
    </w:p>
    <w:p w14:paraId="2D734064" w14:textId="77777777" w:rsidR="003F6B66" w:rsidRPr="00D900AC" w:rsidRDefault="003F6B66" w:rsidP="003F6B66">
      <w:r w:rsidRPr="00D900AC">
        <w:t xml:space="preserve">Representativeness refers to the extent to which measurements represent an environmental condition in time and space. </w:t>
      </w:r>
    </w:p>
    <w:p w14:paraId="3979FE6A" w14:textId="77777777" w:rsidR="003F6B66" w:rsidRPr="004D1B93" w:rsidRDefault="003F6B66" w:rsidP="003F6B66">
      <w:pPr>
        <w:rPr>
          <w:rFonts w:cstheme="minorHAnsi"/>
          <w:szCs w:val="22"/>
        </w:rPr>
      </w:pPr>
    </w:p>
    <w:p w14:paraId="483B34B0" w14:textId="77777777" w:rsidR="0054109F" w:rsidRDefault="0054109F" w:rsidP="003F6B66">
      <w:pPr>
        <w:rPr>
          <w:rFonts w:eastAsiaTheme="majorEastAsia"/>
          <w:b/>
        </w:rPr>
      </w:pPr>
    </w:p>
    <w:p w14:paraId="18220A4B" w14:textId="522A9FA4" w:rsidR="003F6B66" w:rsidRPr="004340C7" w:rsidRDefault="003F6B66" w:rsidP="003F6B66">
      <w:pPr>
        <w:rPr>
          <w:b/>
        </w:rPr>
      </w:pPr>
      <w:r w:rsidRPr="004340C7">
        <w:rPr>
          <w:rFonts w:eastAsiaTheme="majorEastAsia"/>
          <w:b/>
        </w:rPr>
        <w:lastRenderedPageBreak/>
        <w:t>Spatial representation</w:t>
      </w:r>
    </w:p>
    <w:p w14:paraId="6478E4CE" w14:textId="521BC968" w:rsidR="007B0E0D" w:rsidRDefault="007B0E0D" w:rsidP="007C4D14">
      <w:pPr>
        <w:pStyle w:val="BodyText"/>
        <w:spacing w:after="0"/>
        <w:ind w:left="0" w:right="286"/>
        <w:rPr>
          <w:szCs w:val="22"/>
        </w:rPr>
      </w:pPr>
      <w:r>
        <w:rPr>
          <w:szCs w:val="22"/>
        </w:rPr>
        <w:t>Lake locations are chosen to provide spatial variability and provide information about water quality conditions in isolated bays or near areas of development. The lake locations have been sampled during previous monitoring efforts and provide comparability to pre-existing data; however, 4 new locations were added in 2019 to evaluate nutrient concentrations at near-shore locations, and these locations will be monitored again in 202</w:t>
      </w:r>
      <w:r w:rsidR="004263D6">
        <w:rPr>
          <w:szCs w:val="22"/>
        </w:rPr>
        <w:t>2</w:t>
      </w:r>
      <w:r>
        <w:rPr>
          <w:szCs w:val="22"/>
        </w:rPr>
        <w:t>.</w:t>
      </w:r>
    </w:p>
    <w:p w14:paraId="59A104E8" w14:textId="77777777" w:rsidR="003F6B66" w:rsidRPr="004F7321" w:rsidRDefault="003F6B66" w:rsidP="007C4D14">
      <w:pPr>
        <w:rPr>
          <w:rFonts w:cstheme="minorHAnsi"/>
        </w:rPr>
      </w:pPr>
    </w:p>
    <w:p w14:paraId="11461558" w14:textId="77777777" w:rsidR="003F6B66" w:rsidRPr="004340C7" w:rsidRDefault="003F6B66" w:rsidP="003F6B66">
      <w:pPr>
        <w:rPr>
          <w:rFonts w:eastAsiaTheme="majorEastAsia"/>
          <w:b/>
        </w:rPr>
      </w:pPr>
      <w:r w:rsidRPr="004340C7">
        <w:rPr>
          <w:rFonts w:eastAsiaTheme="majorEastAsia"/>
          <w:b/>
        </w:rPr>
        <w:t>Temporal representation</w:t>
      </w:r>
    </w:p>
    <w:p w14:paraId="33D51E07" w14:textId="02C5F0F8" w:rsidR="007B0E0D" w:rsidRDefault="007B0E0D" w:rsidP="004F7321">
      <w:pPr>
        <w:pStyle w:val="BodyText"/>
        <w:spacing w:after="0"/>
        <w:ind w:left="0" w:right="180"/>
        <w:rPr>
          <w:szCs w:val="22"/>
        </w:rPr>
      </w:pPr>
      <w:r>
        <w:rPr>
          <w:szCs w:val="22"/>
        </w:rPr>
        <w:t xml:space="preserve">Sampling will be conducted in August. This will provide information about water quality in mid- summer when temperatures are near </w:t>
      </w:r>
      <w:proofErr w:type="gramStart"/>
      <w:r>
        <w:rPr>
          <w:szCs w:val="22"/>
        </w:rPr>
        <w:t>peak</w:t>
      </w:r>
      <w:proofErr w:type="gramEnd"/>
      <w:r>
        <w:rPr>
          <w:szCs w:val="22"/>
        </w:rPr>
        <w:t xml:space="preserve"> and algae blooms are likely to occur. This sampling schedule will provide continuity with previous monitoring efforts.</w:t>
      </w:r>
    </w:p>
    <w:p w14:paraId="7EBA1B5A" w14:textId="77777777" w:rsidR="004F7321" w:rsidRDefault="004F7321" w:rsidP="007C4D14">
      <w:pPr>
        <w:pStyle w:val="BodyText"/>
        <w:spacing w:after="0"/>
        <w:ind w:left="0" w:right="180"/>
        <w:rPr>
          <w:szCs w:val="22"/>
        </w:rPr>
      </w:pPr>
    </w:p>
    <w:p w14:paraId="5C1246EC" w14:textId="00839895" w:rsidR="003F6B66" w:rsidRPr="004340C7" w:rsidRDefault="003F6B66" w:rsidP="003F6B66">
      <w:pPr>
        <w:rPr>
          <w:b/>
        </w:rPr>
      </w:pPr>
      <w:r w:rsidRPr="004340C7">
        <w:rPr>
          <w:b/>
        </w:rPr>
        <w:t>Comparability</w:t>
      </w:r>
    </w:p>
    <w:p w14:paraId="0480824A" w14:textId="6BE9E064" w:rsidR="007B0E0D" w:rsidRDefault="003F6B66" w:rsidP="007B0E0D">
      <w:r w:rsidRPr="004D1B93">
        <w:t xml:space="preserve">Comparability is the degree to which methods, data, or decisions are similar. </w:t>
      </w:r>
      <w:r w:rsidRPr="00AC0C62">
        <w:t xml:space="preserve">Comparability expresses the confidence with which one data set can be compared to another. To achieve a comparable result, both the field collection method and the analytical method must be comparable. </w:t>
      </w:r>
    </w:p>
    <w:p w14:paraId="06523ABE" w14:textId="77777777" w:rsidR="007B0E0D" w:rsidRPr="007B0E0D" w:rsidRDefault="007B0E0D" w:rsidP="007B0E0D"/>
    <w:p w14:paraId="6AEF6BA4" w14:textId="4A2F676D" w:rsidR="007B0E0D" w:rsidRDefault="007B0E0D" w:rsidP="004F7321">
      <w:pPr>
        <w:pStyle w:val="BodyText"/>
        <w:spacing w:after="0"/>
        <w:ind w:left="0" w:right="206"/>
        <w:rPr>
          <w:szCs w:val="22"/>
        </w:rPr>
      </w:pPr>
      <w:r>
        <w:rPr>
          <w:szCs w:val="22"/>
        </w:rPr>
        <w:t xml:space="preserve">Comparability in this project will be achieved </w:t>
      </w:r>
      <w:proofErr w:type="gramStart"/>
      <w:r>
        <w:rPr>
          <w:szCs w:val="22"/>
        </w:rPr>
        <w:t>through the use of</w:t>
      </w:r>
      <w:proofErr w:type="gramEnd"/>
      <w:r>
        <w:rPr>
          <w:szCs w:val="22"/>
        </w:rPr>
        <w:t xml:space="preserve"> DEQ’s Standard Operating Procedures for field collection and the use of the same analytical methods published by the EPA, APHA - Standard Methods, or USGS in the laboratory. The analytical laboratory will be contacted to ensure the analytical methods performed are consisted with those in the past.</w:t>
      </w:r>
    </w:p>
    <w:p w14:paraId="179FA35B" w14:textId="77777777" w:rsidR="004F7321" w:rsidRDefault="004F7321" w:rsidP="007C4D14">
      <w:pPr>
        <w:pStyle w:val="BodyText"/>
        <w:spacing w:after="0"/>
        <w:ind w:left="0" w:right="206"/>
        <w:rPr>
          <w:szCs w:val="22"/>
        </w:rPr>
      </w:pPr>
    </w:p>
    <w:p w14:paraId="066946A5" w14:textId="384EBA2B" w:rsidR="003F6B66" w:rsidRPr="0011596A" w:rsidRDefault="003F6B66" w:rsidP="004F7321">
      <w:pPr>
        <w:rPr>
          <w:b/>
        </w:rPr>
      </w:pPr>
      <w:r w:rsidRPr="0011596A">
        <w:rPr>
          <w:b/>
        </w:rPr>
        <w:t>Completeness</w:t>
      </w:r>
    </w:p>
    <w:p w14:paraId="1D88DF23" w14:textId="60A02C27" w:rsidR="007B0E0D" w:rsidRDefault="003F6B66" w:rsidP="004F7321">
      <w:pPr>
        <w:pStyle w:val="BodyText"/>
        <w:spacing w:before="57" w:after="0"/>
        <w:ind w:left="0" w:right="114"/>
        <w:rPr>
          <w:szCs w:val="22"/>
        </w:rPr>
      </w:pPr>
      <w:r w:rsidRPr="004D1B93">
        <w:t xml:space="preserve">Completeness is a measure, expressed as a percentage, of the amount of data </w:t>
      </w:r>
      <w:r>
        <w:t xml:space="preserve">that you </w:t>
      </w:r>
      <w:r w:rsidRPr="00B06732">
        <w:rPr>
          <w:i/>
        </w:rPr>
        <w:t>planned to collect</w:t>
      </w:r>
      <w:r>
        <w:t xml:space="preserve"> </w:t>
      </w:r>
      <w:r w:rsidRPr="001E36E4">
        <w:t xml:space="preserve">compared to the amount of data that you </w:t>
      </w:r>
      <w:proofErr w:type="gramStart"/>
      <w:r w:rsidRPr="001E36E4">
        <w:rPr>
          <w:i/>
        </w:rPr>
        <w:t>actually collected</w:t>
      </w:r>
      <w:proofErr w:type="gramEnd"/>
      <w:r w:rsidRPr="001E36E4">
        <w:t xml:space="preserve">. </w:t>
      </w:r>
      <w:r w:rsidR="007B0E0D">
        <w:rPr>
          <w:szCs w:val="22"/>
        </w:rPr>
        <w:t xml:space="preserve">Prior to leaving a sampling site the data sheet will be reviewed </w:t>
      </w:r>
      <w:proofErr w:type="gramStart"/>
      <w:r w:rsidR="007B0E0D">
        <w:rPr>
          <w:szCs w:val="22"/>
        </w:rPr>
        <w:t>in order to</w:t>
      </w:r>
      <w:proofErr w:type="gramEnd"/>
      <w:r w:rsidR="007B0E0D">
        <w:rPr>
          <w:szCs w:val="22"/>
        </w:rPr>
        <w:t xml:space="preserve"> reduce the occurrence of empty data fields. The overall project goal is 90% completeness. Because of the limited funding for laboratory analysis, collection of additional samples in the event of breakage of sample bottles </w:t>
      </w:r>
      <w:proofErr w:type="spellStart"/>
      <w:r w:rsidR="007B0E0D">
        <w:rPr>
          <w:szCs w:val="22"/>
        </w:rPr>
        <w:t>en</w:t>
      </w:r>
      <w:proofErr w:type="spellEnd"/>
      <w:r w:rsidR="007B0E0D">
        <w:rPr>
          <w:szCs w:val="22"/>
        </w:rPr>
        <w:t xml:space="preserve"> route to the laboratory is not</w:t>
      </w:r>
      <w:r w:rsidR="007B0E0D">
        <w:rPr>
          <w:spacing w:val="-16"/>
          <w:szCs w:val="22"/>
        </w:rPr>
        <w:t xml:space="preserve"> </w:t>
      </w:r>
      <w:r w:rsidR="007B0E0D">
        <w:rPr>
          <w:szCs w:val="22"/>
        </w:rPr>
        <w:t>planned.</w:t>
      </w:r>
    </w:p>
    <w:p w14:paraId="7BCACE5F" w14:textId="77777777" w:rsidR="004F7321" w:rsidRDefault="004F7321" w:rsidP="007C4D14">
      <w:pPr>
        <w:pStyle w:val="BodyText"/>
        <w:spacing w:before="57" w:after="0"/>
        <w:ind w:left="0" w:right="114"/>
        <w:rPr>
          <w:szCs w:val="22"/>
        </w:rPr>
      </w:pPr>
    </w:p>
    <w:p w14:paraId="26E508AC" w14:textId="4F0DB7FA" w:rsidR="007B0E0D" w:rsidRDefault="007B0E0D" w:rsidP="004F7321">
      <w:pPr>
        <w:pStyle w:val="BodyText"/>
        <w:spacing w:after="0"/>
        <w:ind w:left="0" w:right="326"/>
        <w:rPr>
          <w:szCs w:val="22"/>
        </w:rPr>
      </w:pPr>
      <w:r>
        <w:rPr>
          <w:szCs w:val="22"/>
        </w:rPr>
        <w:t xml:space="preserve">The overall project goal is 90% completeness. Sites lost due to inaccessibility will reduce the total number of sites in the equation but not the completeness goal. Although, alternative sites will be considered if original site access cannot be obtained. Sample sites have been sampled during previous years and </w:t>
      </w:r>
      <w:proofErr w:type="gramStart"/>
      <w:r>
        <w:rPr>
          <w:szCs w:val="22"/>
        </w:rPr>
        <w:t>are considered to be</w:t>
      </w:r>
      <w:proofErr w:type="gramEnd"/>
      <w:r>
        <w:rPr>
          <w:szCs w:val="22"/>
        </w:rPr>
        <w:t xml:space="preserve"> accessible for 202</w:t>
      </w:r>
      <w:r w:rsidR="004F7321">
        <w:rPr>
          <w:szCs w:val="22"/>
        </w:rPr>
        <w:t>2</w:t>
      </w:r>
      <w:r>
        <w:rPr>
          <w:szCs w:val="22"/>
        </w:rPr>
        <w:t>; however, some sites may not be accessible due to site conditions, weather, or other restrictions.</w:t>
      </w:r>
    </w:p>
    <w:p w14:paraId="2316474D" w14:textId="77777777" w:rsidR="004F7321" w:rsidRDefault="004F7321" w:rsidP="007C4D14">
      <w:pPr>
        <w:pStyle w:val="BodyText"/>
        <w:spacing w:after="0"/>
        <w:ind w:left="0" w:right="326"/>
        <w:rPr>
          <w:szCs w:val="22"/>
        </w:rPr>
      </w:pPr>
    </w:p>
    <w:p w14:paraId="388AB032" w14:textId="3F48E40E" w:rsidR="003F6B66" w:rsidRPr="004340C7" w:rsidRDefault="003F6B66" w:rsidP="007C4D14">
      <w:pPr>
        <w:rPr>
          <w:b/>
        </w:rPr>
      </w:pPr>
      <w:r w:rsidRPr="004340C7">
        <w:rPr>
          <w:b/>
        </w:rPr>
        <w:t>Sensitivity</w:t>
      </w:r>
    </w:p>
    <w:p w14:paraId="3B96302D" w14:textId="77777777" w:rsidR="003F6B66" w:rsidRPr="000749CA" w:rsidRDefault="003F6B66" w:rsidP="007B0E0D">
      <w:r w:rsidRPr="000749CA">
        <w:t xml:space="preserve">Sensitivity refers to the limit of a measurement to reliably detect a characteristic of a sample. Related to detection limits, </w:t>
      </w:r>
      <w:r>
        <w:t>t</w:t>
      </w:r>
      <w:r w:rsidRPr="000749CA">
        <w:t>he more sensitive a method is, the better able it is to detect lower concentrations of a variable</w:t>
      </w:r>
      <w:r>
        <w:t>; f</w:t>
      </w:r>
      <w:r w:rsidRPr="000749CA">
        <w:t xml:space="preserve">or analytical methods, sensitivity is expressed as the method detection limit (MDL). </w:t>
      </w:r>
    </w:p>
    <w:p w14:paraId="0BC3092A" w14:textId="77777777" w:rsidR="003F6B66" w:rsidRPr="000749CA" w:rsidRDefault="003F6B66" w:rsidP="003F6B66"/>
    <w:p w14:paraId="5443496D" w14:textId="77777777" w:rsidR="003F6B66" w:rsidRDefault="003F6B66" w:rsidP="003F6B66">
      <w:r>
        <w:t>Detection and reporting limits are specified for this project which are adequately low enough to enable comparison to the thresholds of interest (e.g., numeric nutrient standards). The laboratory routinely checks sensitivity (e.g., method b</w:t>
      </w:r>
      <w:r w:rsidRPr="000749CA">
        <w:t xml:space="preserve">lanks, </w:t>
      </w:r>
      <w:r>
        <w:t>c</w:t>
      </w:r>
      <w:r w:rsidRPr="001C07F7">
        <w:t xml:space="preserve">ontinuing </w:t>
      </w:r>
      <w:r>
        <w:t>c</w:t>
      </w:r>
      <w:r w:rsidRPr="000749CA">
        <w:t xml:space="preserve">alibration </w:t>
      </w:r>
      <w:r>
        <w:t>b</w:t>
      </w:r>
      <w:r w:rsidRPr="000749CA">
        <w:t xml:space="preserve">lanks, and </w:t>
      </w:r>
      <w:r>
        <w:t>l</w:t>
      </w:r>
      <w:r w:rsidRPr="000749CA">
        <w:t xml:space="preserve">aboratory </w:t>
      </w:r>
      <w:r>
        <w:t>r</w:t>
      </w:r>
      <w:r w:rsidRPr="001C07F7">
        <w:t xml:space="preserve">eagent </w:t>
      </w:r>
      <w:r>
        <w:t>b</w:t>
      </w:r>
      <w:r w:rsidRPr="000749CA">
        <w:t>lanks</w:t>
      </w:r>
      <w:r>
        <w:t xml:space="preserve">) per their quality management plan. </w:t>
      </w:r>
    </w:p>
    <w:p w14:paraId="3464CB24" w14:textId="77777777" w:rsidR="003F6B66" w:rsidRPr="00AE1CC6" w:rsidRDefault="003F6B66" w:rsidP="003F6B66">
      <w:pPr>
        <w:rPr>
          <w:b/>
          <w:szCs w:val="22"/>
          <w:u w:val="single"/>
        </w:rPr>
      </w:pPr>
    </w:p>
    <w:p w14:paraId="038F23A8" w14:textId="77777777" w:rsidR="0054109F" w:rsidRDefault="0054109F" w:rsidP="003F6B66">
      <w:pPr>
        <w:rPr>
          <w:b/>
        </w:rPr>
      </w:pPr>
    </w:p>
    <w:p w14:paraId="2DD1D716" w14:textId="77777777" w:rsidR="0054109F" w:rsidRDefault="0054109F" w:rsidP="003F6B66">
      <w:pPr>
        <w:rPr>
          <w:b/>
        </w:rPr>
      </w:pPr>
    </w:p>
    <w:p w14:paraId="19D1F72D" w14:textId="2557A140" w:rsidR="003F6B66" w:rsidRPr="004340C7" w:rsidRDefault="003F6B66" w:rsidP="003F6B66">
      <w:pPr>
        <w:rPr>
          <w:b/>
        </w:rPr>
      </w:pPr>
      <w:r>
        <w:rPr>
          <w:b/>
        </w:rPr>
        <w:lastRenderedPageBreak/>
        <w:t xml:space="preserve">Precision, </w:t>
      </w:r>
      <w:r w:rsidRPr="004340C7">
        <w:rPr>
          <w:b/>
        </w:rPr>
        <w:t>Bias</w:t>
      </w:r>
      <w:r>
        <w:rPr>
          <w:b/>
        </w:rPr>
        <w:t>, and Accuracy</w:t>
      </w:r>
    </w:p>
    <w:p w14:paraId="27043DAF" w14:textId="77777777" w:rsidR="003F6B66" w:rsidRDefault="003F6B66" w:rsidP="003F6B66">
      <w:r w:rsidRPr="000749CA">
        <w:t xml:space="preserve">Bias is the degree of systematic error in </w:t>
      </w:r>
      <w:r>
        <w:t xml:space="preserve">an </w:t>
      </w:r>
      <w:r w:rsidRPr="000749CA">
        <w:t>assessment or analysis process</w:t>
      </w:r>
      <w:r>
        <w:t>; w</w:t>
      </w:r>
      <w:r w:rsidRPr="000749CA">
        <w:t xml:space="preserve">hen bias is present, the sampling result value will differ from the accepted, or true, value of the parameter. </w:t>
      </w:r>
      <w:r>
        <w:t xml:space="preserve">Adhering to standard operating procedures during sampling will reduce sampling bias. </w:t>
      </w:r>
    </w:p>
    <w:p w14:paraId="68BF2F39" w14:textId="77777777" w:rsidR="003F6B66" w:rsidRDefault="003F6B66" w:rsidP="003F6B66"/>
    <w:p w14:paraId="098396F2" w14:textId="77777777" w:rsidR="003F6B66" w:rsidRPr="000749CA" w:rsidRDefault="003F6B66" w:rsidP="003F6B66">
      <w:r>
        <w:t xml:space="preserve">Precision </w:t>
      </w:r>
      <w:r w:rsidRPr="000749CA">
        <w:t>measures the level of agreement or variability among a set of repeated measurements obtained under similar conditions.</w:t>
      </w:r>
      <w:r>
        <w:t xml:space="preserve"> </w:t>
      </w:r>
      <w:r w:rsidRPr="000749CA">
        <w:t xml:space="preserve">Field duplicates </w:t>
      </w:r>
      <w:r>
        <w:t>(</w:t>
      </w:r>
      <w:r w:rsidRPr="00D25F7B">
        <w:rPr>
          <w:b/>
        </w:rPr>
        <w:t xml:space="preserve">Section </w:t>
      </w:r>
      <w:r>
        <w:rPr>
          <w:b/>
        </w:rPr>
        <w:t>5</w:t>
      </w:r>
      <w:r w:rsidRPr="00D25F7B">
        <w:rPr>
          <w:b/>
        </w:rPr>
        <w:t>.3</w:t>
      </w:r>
      <w:r>
        <w:t xml:space="preserve">) </w:t>
      </w:r>
      <w:r w:rsidRPr="000749CA">
        <w:t>will be collected during this project and used to determine field precision. If problems are linked to field crew sampling error, supplemental training will be provided prior to the next sampling event</w:t>
      </w:r>
      <w:r>
        <w:t xml:space="preserve">. </w:t>
      </w:r>
      <w:r w:rsidRPr="000749CA">
        <w:t xml:space="preserve"> </w:t>
      </w:r>
    </w:p>
    <w:p w14:paraId="18427159" w14:textId="77777777" w:rsidR="003F6B66" w:rsidRDefault="003F6B66" w:rsidP="003F6B66"/>
    <w:p w14:paraId="480315FC" w14:textId="77777777" w:rsidR="003F6B66" w:rsidRPr="000749CA" w:rsidRDefault="003F6B66" w:rsidP="003F6B66">
      <w:r w:rsidRPr="000749CA">
        <w:t xml:space="preserve">Accuracy is the extent of agreement between an observed value (sampling result) and the accepted, or true, value of the parameter being measured. </w:t>
      </w:r>
      <w:r>
        <w:t>Field blanks (</w:t>
      </w:r>
      <w:r w:rsidRPr="00D25F7B">
        <w:rPr>
          <w:b/>
        </w:rPr>
        <w:t xml:space="preserve">Section </w:t>
      </w:r>
      <w:r>
        <w:rPr>
          <w:b/>
        </w:rPr>
        <w:t>5</w:t>
      </w:r>
      <w:r w:rsidRPr="00D25F7B">
        <w:rPr>
          <w:b/>
        </w:rPr>
        <w:t>.4</w:t>
      </w:r>
      <w:r>
        <w:t>) will be prepared during this project and used to evaluate accuracy for field activities. The laboratory</w:t>
      </w:r>
      <w:r w:rsidRPr="000749CA">
        <w:t xml:space="preserve"> uses EPA approved and validated methods</w:t>
      </w:r>
      <w:r>
        <w:t xml:space="preserve"> and performs p</w:t>
      </w:r>
      <w:r w:rsidRPr="000749CA">
        <w:t>recision and accuracy performance evaluations</w:t>
      </w:r>
      <w:r>
        <w:t xml:space="preserve"> per their </w:t>
      </w:r>
      <w:r w:rsidRPr="000749CA">
        <w:t xml:space="preserve">quality </w:t>
      </w:r>
      <w:r>
        <w:t xml:space="preserve">management plan. </w:t>
      </w:r>
    </w:p>
    <w:p w14:paraId="396F364B" w14:textId="77777777" w:rsidR="003F6B66" w:rsidRPr="000749CA" w:rsidRDefault="003F6B66" w:rsidP="003F6B66">
      <w:pPr>
        <w:rPr>
          <w:rFonts w:cstheme="minorHAnsi"/>
          <w:szCs w:val="22"/>
        </w:rPr>
      </w:pPr>
    </w:p>
    <w:p w14:paraId="7A82BB9A" w14:textId="04EE1C34" w:rsidR="003F6B66" w:rsidRPr="000749CA" w:rsidRDefault="003F6B66" w:rsidP="003F6B66">
      <w:pPr>
        <w:rPr>
          <w:rFonts w:cstheme="minorHAnsi"/>
          <w:szCs w:val="22"/>
        </w:rPr>
      </w:pPr>
      <w:r>
        <w:rPr>
          <w:rFonts w:cstheme="minorHAnsi"/>
          <w:b/>
          <w:szCs w:val="22"/>
        </w:rPr>
        <w:t>Holding Time</w:t>
      </w:r>
    </w:p>
    <w:p w14:paraId="0463F36B" w14:textId="77777777" w:rsidR="003F6B66" w:rsidRPr="002C3F22" w:rsidRDefault="003F6B66" w:rsidP="003F6B66">
      <w:r w:rsidRPr="00B06732">
        <w:t xml:space="preserve">All samples will be checked to verify that they were processed within their specified holding times. Sample results whose holding time was exceeded prior to being processed will be qualified with an “H” flag. </w:t>
      </w:r>
    </w:p>
    <w:p w14:paraId="097DF5B7" w14:textId="77777777" w:rsidR="003F6B66" w:rsidRDefault="003F6B66" w:rsidP="003F6B66">
      <w:pPr>
        <w:pStyle w:val="Heading2"/>
      </w:pPr>
      <w:bookmarkStart w:id="64" w:name="_Toc32417540"/>
      <w:bookmarkStart w:id="65" w:name="_Toc109055228"/>
      <w:bookmarkEnd w:id="63"/>
      <w:r>
        <w:t>5.7 Field Health and Safety</w:t>
      </w:r>
      <w:bookmarkEnd w:id="64"/>
      <w:bookmarkEnd w:id="65"/>
      <w:r>
        <w:t xml:space="preserve"> </w:t>
      </w:r>
    </w:p>
    <w:p w14:paraId="24560FD4" w14:textId="648EA726" w:rsidR="003F6B66" w:rsidRDefault="003F6B66" w:rsidP="003F6B66">
      <w:r>
        <w:t>Field personnel commonly encounter hazards while performing monitoring activities. All participants are advised to take adequate precautions to avoid injury or loss of life due to hazards including, but not limited to, driving, wading and other activities in and around water, weather conditions, wildlife interactions, people interactions, use of chemical preservatives, etc. On every sampling trip, field personnel should carry with them a communication device (e.g., cell phone), first aid kit, bear spray, adequate drinking water, clothing appropriate for a range of weather conditions, personal protective equipment including waders, adequate footwear, and gloves to be worn while handling preservatives, and any other necessary safety-related items.</w:t>
      </w:r>
      <w:r w:rsidR="00505665">
        <w:t xml:space="preserve"> For </w:t>
      </w:r>
      <w:r w:rsidR="00FE3A79">
        <w:t>boat</w:t>
      </w:r>
      <w:r w:rsidR="00505665">
        <w:t xml:space="preserve"> sampling, a </w:t>
      </w:r>
      <w:r w:rsidR="00FE3A79">
        <w:t xml:space="preserve">life jacket </w:t>
      </w:r>
      <w:r w:rsidR="00715974">
        <w:t>will be onboard</w:t>
      </w:r>
      <w:r w:rsidR="00FE3A79">
        <w:t xml:space="preserve"> for each member of the field personnel.</w:t>
      </w:r>
      <w:r>
        <w:t xml:space="preserve"> If, for any reason, field personnel feel unsafe while navigating to or from monitoring sites or while collecting data, they should err on the side of caution and not collect the data. Any delays or changes should be reported to the project coordinator as soon as possible so sampling can be rescheduled if possible. </w:t>
      </w:r>
    </w:p>
    <w:bookmarkEnd w:id="54"/>
    <w:bookmarkEnd w:id="57"/>
    <w:p w14:paraId="03D81944" w14:textId="77777777" w:rsidR="00E772F6" w:rsidRPr="00D900AC" w:rsidRDefault="00E772F6" w:rsidP="004D1B93">
      <w:pPr>
        <w:rPr>
          <w:rFonts w:cstheme="minorHAnsi"/>
          <w:szCs w:val="22"/>
        </w:rPr>
      </w:pPr>
    </w:p>
    <w:p w14:paraId="234506D3" w14:textId="2950A101" w:rsidR="00F753E0" w:rsidRPr="001C07F7" w:rsidRDefault="00E772F6" w:rsidP="00920FC9">
      <w:pPr>
        <w:pStyle w:val="Heading1"/>
      </w:pPr>
      <w:bookmarkStart w:id="66" w:name="_Toc109055229"/>
      <w:r>
        <w:t>6</w:t>
      </w:r>
      <w:r w:rsidR="0086464D">
        <w:t xml:space="preserve">.0 </w:t>
      </w:r>
      <w:r w:rsidR="00F753E0" w:rsidRPr="008578F7">
        <w:t xml:space="preserve">Data </w:t>
      </w:r>
      <w:r w:rsidR="00D00F3F">
        <w:t>Management</w:t>
      </w:r>
      <w:r w:rsidR="00F753E0" w:rsidRPr="008578F7">
        <w:t>, Record Keeping &amp; Reporting</w:t>
      </w:r>
      <w:bookmarkEnd w:id="66"/>
    </w:p>
    <w:p w14:paraId="74F205EE" w14:textId="77777777" w:rsidR="00E772F6" w:rsidRPr="00E772F6" w:rsidRDefault="00E772F6" w:rsidP="00E772F6">
      <w:r w:rsidRPr="00E772F6">
        <w:t xml:space="preserve">The person(s) responsible for data management, record keeping, data quality review and data upload will perform the following activities: </w:t>
      </w:r>
    </w:p>
    <w:p w14:paraId="03DA63C4" w14:textId="77777777" w:rsidR="00E772F6" w:rsidRPr="00E772F6" w:rsidRDefault="00E772F6" w:rsidP="00C04890">
      <w:pPr>
        <w:pStyle w:val="ListParagraph"/>
        <w:numPr>
          <w:ilvl w:val="0"/>
          <w:numId w:val="15"/>
        </w:numPr>
      </w:pPr>
      <w:r w:rsidRPr="00E772F6">
        <w:t xml:space="preserve">Review field forms for completeness and accuracy, especially Site Visit and Chain of Custody forms. </w:t>
      </w:r>
    </w:p>
    <w:p w14:paraId="6C3203AF" w14:textId="77777777" w:rsidR="00E772F6" w:rsidRPr="00E772F6" w:rsidRDefault="00E772F6" w:rsidP="00C04890">
      <w:pPr>
        <w:pStyle w:val="ListParagraph"/>
        <w:numPr>
          <w:ilvl w:val="0"/>
          <w:numId w:val="15"/>
        </w:numPr>
      </w:pPr>
      <w:r w:rsidRPr="00E772F6">
        <w:t xml:space="preserve">Draft a brief synopsis of any SAP derivations that occurred. </w:t>
      </w:r>
    </w:p>
    <w:p w14:paraId="55C4343A" w14:textId="77777777" w:rsidR="00E772F6" w:rsidRPr="00E772F6" w:rsidRDefault="00E772F6" w:rsidP="00C04890">
      <w:pPr>
        <w:pStyle w:val="ListParagraph"/>
        <w:numPr>
          <w:ilvl w:val="0"/>
          <w:numId w:val="15"/>
        </w:numPr>
      </w:pPr>
      <w:r w:rsidRPr="00E772F6">
        <w:t xml:space="preserve">Store and backup all data generated during this project, including field forms, laboratory reports obtained from the laboratories, electronic copies of field photographs, and written field notes. </w:t>
      </w:r>
    </w:p>
    <w:p w14:paraId="63148563" w14:textId="434B1FDE" w:rsidR="00E772F6" w:rsidRPr="00E772F6" w:rsidRDefault="00E772F6" w:rsidP="00C04890">
      <w:pPr>
        <w:pStyle w:val="ListParagraph"/>
        <w:numPr>
          <w:ilvl w:val="0"/>
          <w:numId w:val="15"/>
        </w:numPr>
      </w:pPr>
      <w:r w:rsidRPr="00E772F6">
        <w:t xml:space="preserve">Review data quality and flag result values, as needed, prior to uploading into the database(s). Upload all laboratory data into MT e-WQX database (if DEQ funding or support is provided). </w:t>
      </w:r>
    </w:p>
    <w:p w14:paraId="254E0B85" w14:textId="77777777" w:rsidR="00E772F6" w:rsidRPr="00E772F6" w:rsidRDefault="00E772F6" w:rsidP="00C04890">
      <w:pPr>
        <w:pStyle w:val="ListParagraph"/>
        <w:numPr>
          <w:ilvl w:val="0"/>
          <w:numId w:val="15"/>
        </w:numPr>
      </w:pPr>
      <w:r w:rsidRPr="00E772F6">
        <w:t xml:space="preserve">Maintain records of volunteer hours, </w:t>
      </w:r>
      <w:proofErr w:type="gramStart"/>
      <w:r w:rsidRPr="00E772F6">
        <w:t>travel</w:t>
      </w:r>
      <w:proofErr w:type="gramEnd"/>
      <w:r w:rsidRPr="00E772F6">
        <w:t xml:space="preserve"> and other budget tracking, as needed. </w:t>
      </w:r>
    </w:p>
    <w:p w14:paraId="620D6620" w14:textId="05CF4BDC" w:rsidR="0086464D" w:rsidRPr="00B06732" w:rsidRDefault="00C04890" w:rsidP="007670FB">
      <w:pPr>
        <w:pStyle w:val="Heading2"/>
      </w:pPr>
      <w:bookmarkStart w:id="67" w:name="_Toc109055230"/>
      <w:r>
        <w:lastRenderedPageBreak/>
        <w:t>6</w:t>
      </w:r>
      <w:r w:rsidR="007670FB">
        <w:t xml:space="preserve">.1 </w:t>
      </w:r>
      <w:r w:rsidR="0086464D" w:rsidRPr="00B06732">
        <w:t>DEQ’s MT-</w:t>
      </w:r>
      <w:proofErr w:type="spellStart"/>
      <w:r w:rsidR="0086464D" w:rsidRPr="00B06732">
        <w:t>eWQX</w:t>
      </w:r>
      <w:proofErr w:type="spellEnd"/>
      <w:r w:rsidR="0086464D" w:rsidRPr="00B06732">
        <w:t xml:space="preserve"> database</w:t>
      </w:r>
      <w:r w:rsidR="0086464D">
        <w:t xml:space="preserve"> and Data Quality Review</w:t>
      </w:r>
      <w:bookmarkEnd w:id="67"/>
    </w:p>
    <w:p w14:paraId="4A5BA182" w14:textId="3EF69B8F" w:rsidR="00E772F6" w:rsidRPr="00E772F6" w:rsidRDefault="00E772F6" w:rsidP="00E772F6">
      <w:pPr>
        <w:rPr>
          <w:rFonts w:cstheme="minorHAnsi"/>
          <w:szCs w:val="22"/>
        </w:rPr>
      </w:pPr>
      <w:r w:rsidRPr="00E772F6">
        <w:rPr>
          <w:rFonts w:cstheme="minorHAnsi"/>
          <w:bCs/>
          <w:szCs w:val="22"/>
        </w:rPr>
        <w:t>Analytical laboratories</w:t>
      </w:r>
      <w:r w:rsidRPr="00E772F6">
        <w:rPr>
          <w:rFonts w:cstheme="minorHAnsi"/>
          <w:szCs w:val="22"/>
        </w:rPr>
        <w:t xml:space="preserve"> will prepare and analyze the samples in accordance with the chain-of-custody forms and analytical methods specified in </w:t>
      </w:r>
      <w:r w:rsidRPr="00E772F6">
        <w:rPr>
          <w:rFonts w:cstheme="minorHAnsi"/>
          <w:b/>
          <w:szCs w:val="22"/>
        </w:rPr>
        <w:t xml:space="preserve">Table </w:t>
      </w:r>
      <w:r w:rsidR="00BB2B83">
        <w:rPr>
          <w:rFonts w:cstheme="minorHAnsi"/>
          <w:b/>
          <w:szCs w:val="22"/>
        </w:rPr>
        <w:t>6</w:t>
      </w:r>
      <w:r w:rsidRPr="00E772F6">
        <w:rPr>
          <w:rFonts w:cstheme="minorHAnsi"/>
          <w:szCs w:val="22"/>
        </w:rPr>
        <w:t xml:space="preserve">. The lab will then supply the project coordinator with laboratory analytical reports and Electronic Data Deliverable (EDD) spreadsheets. </w:t>
      </w:r>
    </w:p>
    <w:p w14:paraId="384FE70C" w14:textId="77777777" w:rsidR="00E772F6" w:rsidRPr="00E772F6" w:rsidRDefault="00E772F6" w:rsidP="00E772F6">
      <w:pPr>
        <w:rPr>
          <w:rFonts w:cstheme="minorHAnsi"/>
          <w:szCs w:val="22"/>
        </w:rPr>
      </w:pPr>
    </w:p>
    <w:p w14:paraId="6C5F83A2" w14:textId="050C9E99" w:rsidR="00E772F6" w:rsidRPr="00E772F6" w:rsidRDefault="00E772F6" w:rsidP="00E772F6">
      <w:pPr>
        <w:spacing w:after="120"/>
        <w:rPr>
          <w:rFonts w:cstheme="minorHAnsi"/>
          <w:szCs w:val="22"/>
        </w:rPr>
      </w:pPr>
      <w:r w:rsidRPr="00E772F6">
        <w:rPr>
          <w:rFonts w:cstheme="minorHAnsi"/>
          <w:szCs w:val="22"/>
        </w:rPr>
        <w:t>If DEQ funding is received in support of the monitoring project (e.g., through DEQ’s Volunteer Monitoring Lab Analysis Support Program or other funding mechanism), all data collected must be entered by the project coordinator into DEQ’s MT-</w:t>
      </w:r>
      <w:proofErr w:type="spellStart"/>
      <w:r w:rsidRPr="00E772F6">
        <w:rPr>
          <w:rFonts w:cstheme="minorHAnsi"/>
          <w:szCs w:val="22"/>
        </w:rPr>
        <w:t>eWQX</w:t>
      </w:r>
      <w:proofErr w:type="spellEnd"/>
      <w:r w:rsidRPr="00E772F6">
        <w:rPr>
          <w:rFonts w:cstheme="minorHAnsi"/>
          <w:szCs w:val="22"/>
        </w:rPr>
        <w:t xml:space="preserve"> database (also known as </w:t>
      </w:r>
      <w:proofErr w:type="spellStart"/>
      <w:r w:rsidRPr="00E772F6">
        <w:rPr>
          <w:rFonts w:cstheme="minorHAnsi"/>
          <w:szCs w:val="22"/>
        </w:rPr>
        <w:t>EQuIS</w:t>
      </w:r>
      <w:proofErr w:type="spellEnd"/>
      <w:r w:rsidRPr="00E772F6">
        <w:rPr>
          <w:rFonts w:cstheme="minorHAnsi"/>
          <w:szCs w:val="22"/>
        </w:rPr>
        <w:t xml:space="preserve">). Instructions for preparing, </w:t>
      </w:r>
      <w:proofErr w:type="gramStart"/>
      <w:r w:rsidRPr="00E772F6">
        <w:rPr>
          <w:rFonts w:cstheme="minorHAnsi"/>
          <w:szCs w:val="22"/>
        </w:rPr>
        <w:t>validating</w:t>
      </w:r>
      <w:proofErr w:type="gramEnd"/>
      <w:r w:rsidRPr="00E772F6">
        <w:rPr>
          <w:rFonts w:cstheme="minorHAnsi"/>
          <w:szCs w:val="22"/>
        </w:rPr>
        <w:t xml:space="preserve"> and submitting the EDD to MT-</w:t>
      </w:r>
      <w:proofErr w:type="spellStart"/>
      <w:r w:rsidRPr="00E772F6">
        <w:rPr>
          <w:rFonts w:cstheme="minorHAnsi"/>
          <w:szCs w:val="22"/>
        </w:rPr>
        <w:t>eWQX</w:t>
      </w:r>
      <w:proofErr w:type="spellEnd"/>
      <w:r w:rsidRPr="00E772F6">
        <w:rPr>
          <w:rFonts w:cstheme="minorHAnsi"/>
          <w:szCs w:val="22"/>
        </w:rPr>
        <w:t xml:space="preserve"> must be followed (available at </w:t>
      </w:r>
      <w:r w:rsidR="00E1668C" w:rsidRPr="00E1668C">
        <w:t>https://deq.mt.gov/water/Programs/sw</w:t>
      </w:r>
      <w:r w:rsidRPr="00E772F6">
        <w:rPr>
          <w:rFonts w:cstheme="minorHAnsi"/>
          <w:szCs w:val="22"/>
        </w:rPr>
        <w:t>). For example, steps include:</w:t>
      </w:r>
    </w:p>
    <w:p w14:paraId="2749DA9C" w14:textId="77777777" w:rsidR="00E772F6" w:rsidRPr="00E772F6" w:rsidRDefault="00E772F6" w:rsidP="00C6280D">
      <w:pPr>
        <w:numPr>
          <w:ilvl w:val="0"/>
          <w:numId w:val="16"/>
        </w:numPr>
        <w:rPr>
          <w:rFonts w:cstheme="minorHAnsi"/>
          <w:szCs w:val="22"/>
        </w:rPr>
      </w:pPr>
      <w:r w:rsidRPr="00E772F6">
        <w:rPr>
          <w:rFonts w:cstheme="minorHAnsi"/>
          <w:szCs w:val="22"/>
        </w:rPr>
        <w:t xml:space="preserve">Compiling data (including site information, field measurements and lab results), </w:t>
      </w:r>
    </w:p>
    <w:p w14:paraId="575456C8" w14:textId="77777777" w:rsidR="00E772F6" w:rsidRPr="00E772F6" w:rsidRDefault="00E772F6" w:rsidP="00C6280D">
      <w:pPr>
        <w:numPr>
          <w:ilvl w:val="0"/>
          <w:numId w:val="16"/>
        </w:numPr>
        <w:rPr>
          <w:rFonts w:cstheme="minorHAnsi"/>
          <w:szCs w:val="22"/>
        </w:rPr>
      </w:pPr>
      <w:r w:rsidRPr="00E772F6">
        <w:rPr>
          <w:rFonts w:cstheme="minorHAnsi"/>
          <w:szCs w:val="22"/>
        </w:rPr>
        <w:t xml:space="preserve">Transforming the data into the required format, </w:t>
      </w:r>
    </w:p>
    <w:p w14:paraId="599214C4" w14:textId="77777777" w:rsidR="00E772F6" w:rsidRPr="00E772F6" w:rsidRDefault="00E772F6" w:rsidP="00C6280D">
      <w:pPr>
        <w:numPr>
          <w:ilvl w:val="0"/>
          <w:numId w:val="16"/>
        </w:numPr>
        <w:rPr>
          <w:rFonts w:cstheme="minorHAnsi"/>
          <w:szCs w:val="22"/>
        </w:rPr>
      </w:pPr>
      <w:r w:rsidRPr="00E772F6">
        <w:rPr>
          <w:rFonts w:cstheme="minorHAnsi"/>
          <w:szCs w:val="22"/>
        </w:rPr>
        <w:t xml:space="preserve">Performing a thorough quality control check of the data to correct errors, qualify problematic sample result values with data flags, etc., </w:t>
      </w:r>
    </w:p>
    <w:p w14:paraId="54338270" w14:textId="77777777" w:rsidR="00E772F6" w:rsidRPr="00E772F6" w:rsidRDefault="00E772F6" w:rsidP="00C6280D">
      <w:pPr>
        <w:numPr>
          <w:ilvl w:val="0"/>
          <w:numId w:val="16"/>
        </w:numPr>
        <w:rPr>
          <w:rFonts w:cstheme="minorHAnsi"/>
          <w:szCs w:val="22"/>
        </w:rPr>
      </w:pPr>
      <w:r w:rsidRPr="00E772F6">
        <w:rPr>
          <w:rFonts w:cstheme="minorHAnsi"/>
          <w:szCs w:val="22"/>
        </w:rPr>
        <w:t xml:space="preserve">Validating the data, and </w:t>
      </w:r>
    </w:p>
    <w:p w14:paraId="571FD75B" w14:textId="77777777" w:rsidR="00E772F6" w:rsidRPr="00E772F6" w:rsidRDefault="00E772F6" w:rsidP="00C6280D">
      <w:pPr>
        <w:numPr>
          <w:ilvl w:val="0"/>
          <w:numId w:val="16"/>
        </w:numPr>
        <w:rPr>
          <w:rFonts w:cstheme="minorHAnsi"/>
          <w:szCs w:val="22"/>
        </w:rPr>
      </w:pPr>
      <w:r w:rsidRPr="00E772F6">
        <w:rPr>
          <w:rFonts w:cstheme="minorHAnsi"/>
          <w:szCs w:val="22"/>
        </w:rPr>
        <w:t>Submitting EDDs to MT-</w:t>
      </w:r>
      <w:proofErr w:type="spellStart"/>
      <w:r w:rsidRPr="00E772F6">
        <w:rPr>
          <w:rFonts w:cstheme="minorHAnsi"/>
          <w:szCs w:val="22"/>
        </w:rPr>
        <w:t>eWQX</w:t>
      </w:r>
      <w:proofErr w:type="spellEnd"/>
      <w:r w:rsidRPr="00E772F6">
        <w:rPr>
          <w:rFonts w:cstheme="minorHAnsi"/>
          <w:szCs w:val="22"/>
        </w:rPr>
        <w:t xml:space="preserve">.  </w:t>
      </w:r>
    </w:p>
    <w:p w14:paraId="169FD9C7" w14:textId="53698361" w:rsidR="0086464D" w:rsidRPr="00B06732" w:rsidRDefault="00C04890" w:rsidP="007670FB">
      <w:pPr>
        <w:pStyle w:val="Heading2"/>
      </w:pPr>
      <w:bookmarkStart w:id="68" w:name="_Toc109055231"/>
      <w:r>
        <w:t>6</w:t>
      </w:r>
      <w:r w:rsidR="007670FB">
        <w:t xml:space="preserve">.2 </w:t>
      </w:r>
      <w:r w:rsidR="0086464D" w:rsidRPr="00B06732">
        <w:t>Other Data Management Approaches</w:t>
      </w:r>
      <w:bookmarkEnd w:id="68"/>
    </w:p>
    <w:p w14:paraId="49E8717F" w14:textId="728904B4" w:rsidR="007B0E0D" w:rsidRDefault="007B0E0D" w:rsidP="007B0E0D">
      <w:pPr>
        <w:rPr>
          <w:rFonts w:cstheme="minorHAnsi"/>
        </w:rPr>
      </w:pPr>
      <w:bookmarkStart w:id="69" w:name="_Toc445199663"/>
      <w:bookmarkStart w:id="70" w:name="_Toc445200330"/>
      <w:bookmarkStart w:id="71" w:name="_Toc445200525"/>
      <w:bookmarkStart w:id="72" w:name="_Toc445200602"/>
      <w:bookmarkStart w:id="73" w:name="_Toc445200671"/>
      <w:bookmarkStart w:id="74" w:name="_Toc445200746"/>
      <w:bookmarkStart w:id="75" w:name="_Toc445201038"/>
      <w:bookmarkStart w:id="76" w:name="_Toc445199665"/>
      <w:bookmarkStart w:id="77" w:name="_Toc445200332"/>
      <w:bookmarkStart w:id="78" w:name="_Toc445200527"/>
      <w:bookmarkStart w:id="79" w:name="_Toc445200604"/>
      <w:bookmarkStart w:id="80" w:name="_Toc445200673"/>
      <w:bookmarkStart w:id="81" w:name="_Toc445200748"/>
      <w:bookmarkStart w:id="82" w:name="_Toc445201040"/>
      <w:bookmarkStart w:id="83" w:name="_Toc445199666"/>
      <w:bookmarkStart w:id="84" w:name="_Toc445200333"/>
      <w:bookmarkStart w:id="85" w:name="_Toc445200528"/>
      <w:bookmarkStart w:id="86" w:name="_Toc445200605"/>
      <w:bookmarkStart w:id="87" w:name="_Toc445200674"/>
      <w:bookmarkStart w:id="88" w:name="_Toc445200749"/>
      <w:bookmarkStart w:id="89" w:name="_Toc445201041"/>
      <w:bookmarkStart w:id="90" w:name="_Toc445199686"/>
      <w:bookmarkStart w:id="91" w:name="_Toc445200353"/>
      <w:bookmarkStart w:id="92" w:name="_Toc445200548"/>
      <w:bookmarkStart w:id="93" w:name="_Toc445200625"/>
      <w:bookmarkStart w:id="94" w:name="_Toc445200694"/>
      <w:bookmarkStart w:id="95" w:name="_Toc445200769"/>
      <w:bookmarkStart w:id="96" w:name="_Toc445201061"/>
      <w:bookmarkStart w:id="97" w:name="_Toc445199692"/>
      <w:bookmarkStart w:id="98" w:name="_Toc445200359"/>
      <w:bookmarkStart w:id="99" w:name="_Toc445200554"/>
      <w:bookmarkStart w:id="100" w:name="_Toc445200631"/>
      <w:bookmarkStart w:id="101" w:name="_Toc445200700"/>
      <w:bookmarkStart w:id="102" w:name="_Toc445200775"/>
      <w:bookmarkStart w:id="103" w:name="_Toc445201067"/>
      <w:bookmarkStart w:id="104" w:name="_Toc218694545"/>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Pr>
          <w:rFonts w:cstheme="minorHAnsi"/>
        </w:rPr>
        <w:t xml:space="preserve">Field measurements or observations (such as instantaneous measurements from field meters, flow measurements, written field observations) will be recorded in a field book, which will be photocopied, scanned, and stored electronically following the field effort. Photos will be stored electronically on the device (camera or cell phone) and later stored electronically in a project folder. </w:t>
      </w:r>
      <w:bookmarkEnd w:id="104"/>
      <w:r w:rsidR="00EA09EC">
        <w:rPr>
          <w:rFonts w:cstheme="minorHAnsi"/>
        </w:rPr>
        <w:t xml:space="preserve">All data is housed electronically at WET and available to members of the Lake Association upon request. </w:t>
      </w:r>
    </w:p>
    <w:p w14:paraId="0899852D" w14:textId="0544AAC1" w:rsidR="008B7632" w:rsidRPr="00D900AC" w:rsidRDefault="008B7632" w:rsidP="001C07F7">
      <w:pPr>
        <w:rPr>
          <w:rFonts w:cstheme="minorHAnsi"/>
          <w:b/>
          <w:szCs w:val="22"/>
        </w:rPr>
      </w:pPr>
    </w:p>
    <w:p w14:paraId="5E9B5D94" w14:textId="73CA875D" w:rsidR="007159AA" w:rsidRPr="00997346" w:rsidRDefault="00C04890" w:rsidP="00920FC9">
      <w:pPr>
        <w:pStyle w:val="Heading1"/>
      </w:pPr>
      <w:bookmarkStart w:id="105" w:name="_Toc109055232"/>
      <w:r>
        <w:t>7</w:t>
      </w:r>
      <w:bookmarkStart w:id="106" w:name="_Toc218694551"/>
      <w:bookmarkStart w:id="107" w:name="_Toc67755744"/>
      <w:bookmarkEnd w:id="11"/>
      <w:r w:rsidR="005F1B8B">
        <w:t xml:space="preserve">.0 </w:t>
      </w:r>
      <w:r w:rsidR="0086464D">
        <w:t>Data Analysis</w:t>
      </w:r>
      <w:bookmarkEnd w:id="106"/>
      <w:r>
        <w:t xml:space="preserve"> and Reporting</w:t>
      </w:r>
      <w:bookmarkEnd w:id="105"/>
    </w:p>
    <w:p w14:paraId="0961D45B" w14:textId="50065FD6" w:rsidR="007159AA" w:rsidRPr="00997346" w:rsidRDefault="00F002BB" w:rsidP="007670FB">
      <w:pPr>
        <w:pStyle w:val="Heading2"/>
      </w:pPr>
      <w:bookmarkStart w:id="108" w:name="_Toc109055233"/>
      <w:r>
        <w:t>7</w:t>
      </w:r>
      <w:r w:rsidR="0082154A">
        <w:t>.1 Data Analysis</w:t>
      </w:r>
      <w:bookmarkEnd w:id="108"/>
      <w:r w:rsidR="0082154A">
        <w:t xml:space="preserve"> </w:t>
      </w:r>
    </w:p>
    <w:p w14:paraId="4670DD94" w14:textId="1B1EABE9" w:rsidR="007B0E0D" w:rsidRDefault="007B0E0D" w:rsidP="00EA09EC">
      <w:pPr>
        <w:pStyle w:val="BodyText"/>
        <w:spacing w:before="58"/>
        <w:ind w:left="0" w:right="531"/>
        <w:rPr>
          <w:szCs w:val="22"/>
        </w:rPr>
      </w:pPr>
      <w:r>
        <w:rPr>
          <w:szCs w:val="22"/>
        </w:rPr>
        <w:t xml:space="preserve">All data management and analysis are performed by a project scientist at WET, overseen by the Project Manager John Babcock. Each parameter is entered into the project database for analysis and comparison with previously collected data. Results are tabulated and presented in tables and graphs, and Carlson’s Trophic State Index is calculated from nutrient results. A table of data from the current sampling year is provided, along with a table of historical data. Charts include: depth profile results for temperature, dissolved oxygen, specific conductance, and pH (including profiles from previous years for comparison); temporal trend charts for each parameter at each sample location and all locations pooled; TSI trend charts; temporal statistics showing maximum, minimum, and average values for total nitrogen and total phosphorus; and spatial statistic charts showing maximum, minimum, and average values for total nitrogen and total phosphorus at each location. Where possible, laboratory results for nutrients and chlorophyll-a are compared to existing guidelines for human or aquatic health, including (but not limited to) those published in Montana DEQ Circular DEQ-7. Numeric water quality standards for constituents listed on Circular DEQ-7 are provided below in </w:t>
      </w:r>
      <w:r>
        <w:rPr>
          <w:b/>
          <w:szCs w:val="22"/>
        </w:rPr>
        <w:t>Table 7</w:t>
      </w:r>
      <w:r>
        <w:rPr>
          <w:szCs w:val="22"/>
        </w:rPr>
        <w:t xml:space="preserve">. Lake-specific base numeric nutrient standards have not yet been developed by Montana DEQ. </w:t>
      </w:r>
    </w:p>
    <w:p w14:paraId="77C881BD" w14:textId="77777777" w:rsidR="00EA09EC" w:rsidRDefault="00EA09EC" w:rsidP="007B0E0D">
      <w:pPr>
        <w:spacing w:before="37" w:after="3"/>
        <w:rPr>
          <w:b/>
          <w:szCs w:val="22"/>
        </w:rPr>
      </w:pPr>
    </w:p>
    <w:p w14:paraId="6F9C50B8" w14:textId="77777777" w:rsidR="00EA09EC" w:rsidRDefault="00EA09EC" w:rsidP="007B0E0D">
      <w:pPr>
        <w:spacing w:before="37" w:after="3"/>
        <w:rPr>
          <w:b/>
          <w:szCs w:val="22"/>
        </w:rPr>
      </w:pPr>
    </w:p>
    <w:p w14:paraId="75E4719D" w14:textId="77777777" w:rsidR="00A12BD5" w:rsidRDefault="00A12BD5" w:rsidP="007B0E0D">
      <w:pPr>
        <w:spacing w:before="37" w:after="3"/>
        <w:rPr>
          <w:b/>
          <w:szCs w:val="22"/>
        </w:rPr>
      </w:pPr>
    </w:p>
    <w:p w14:paraId="2E4F4040" w14:textId="715B1331" w:rsidR="007B0E0D" w:rsidRDefault="007B0E0D" w:rsidP="007B0E0D">
      <w:pPr>
        <w:spacing w:before="37" w:after="3"/>
        <w:rPr>
          <w:b/>
          <w:szCs w:val="22"/>
        </w:rPr>
      </w:pPr>
      <w:r>
        <w:rPr>
          <w:b/>
          <w:szCs w:val="22"/>
        </w:rPr>
        <w:lastRenderedPageBreak/>
        <w:t>Table 7. Montana Numeric Water Quality Standards (adopted from Circular DEQ-7)</w:t>
      </w:r>
    </w:p>
    <w:tbl>
      <w:tblPr>
        <w:tblW w:w="9491" w:type="dxa"/>
        <w:tblCellMar>
          <w:left w:w="115" w:type="dxa"/>
          <w:right w:w="115" w:type="dxa"/>
        </w:tblCellMar>
        <w:tblLook w:val="04A0" w:firstRow="1" w:lastRow="0" w:firstColumn="1" w:lastColumn="0" w:noHBand="0" w:noVBand="1"/>
      </w:tblPr>
      <w:tblGrid>
        <w:gridCol w:w="1241"/>
        <w:gridCol w:w="1160"/>
        <w:gridCol w:w="1435"/>
        <w:gridCol w:w="1643"/>
        <w:gridCol w:w="940"/>
        <w:gridCol w:w="940"/>
        <w:gridCol w:w="1000"/>
        <w:gridCol w:w="1132"/>
      </w:tblGrid>
      <w:tr w:rsidR="007B0E0D" w14:paraId="75CF5EBA" w14:textId="77777777" w:rsidTr="00EA09EC">
        <w:trPr>
          <w:trHeight w:val="525"/>
          <w:tblHeader/>
        </w:trPr>
        <w:tc>
          <w:tcPr>
            <w:tcW w:w="1241" w:type="dxa"/>
            <w:vMerge w:val="restart"/>
            <w:tcBorders>
              <w:top w:val="single" w:sz="4" w:space="0" w:color="auto"/>
              <w:left w:val="single" w:sz="4" w:space="0" w:color="auto"/>
              <w:bottom w:val="single" w:sz="4" w:space="0" w:color="auto"/>
              <w:right w:val="single" w:sz="4" w:space="0" w:color="auto"/>
            </w:tcBorders>
            <w:shd w:val="pct10" w:color="auto" w:fill="auto"/>
            <w:vAlign w:val="center"/>
            <w:hideMark/>
          </w:tcPr>
          <w:p w14:paraId="31609F42" w14:textId="77777777" w:rsidR="007B0E0D" w:rsidRDefault="007B0E0D">
            <w:pPr>
              <w:jc w:val="center"/>
              <w:rPr>
                <w:rFonts w:ascii="Calibri" w:hAnsi="Calibri"/>
                <w:b/>
                <w:bCs/>
                <w:color w:val="000000"/>
              </w:rPr>
            </w:pPr>
            <w:r>
              <w:rPr>
                <w:rFonts w:ascii="Calibri" w:hAnsi="Calibri"/>
                <w:b/>
                <w:bCs/>
                <w:color w:val="000000"/>
              </w:rPr>
              <w:t>Chemical Compound</w:t>
            </w:r>
          </w:p>
        </w:tc>
        <w:tc>
          <w:tcPr>
            <w:tcW w:w="1160" w:type="dxa"/>
            <w:vMerge w:val="restart"/>
            <w:tcBorders>
              <w:top w:val="single" w:sz="4" w:space="0" w:color="auto"/>
              <w:left w:val="single" w:sz="4" w:space="0" w:color="auto"/>
              <w:bottom w:val="single" w:sz="4" w:space="0" w:color="auto"/>
              <w:right w:val="single" w:sz="4" w:space="0" w:color="auto"/>
            </w:tcBorders>
            <w:shd w:val="pct10" w:color="auto" w:fill="auto"/>
            <w:vAlign w:val="center"/>
            <w:hideMark/>
          </w:tcPr>
          <w:p w14:paraId="62CA6FCE" w14:textId="77777777" w:rsidR="007B0E0D" w:rsidRDefault="007B0E0D">
            <w:pPr>
              <w:jc w:val="center"/>
              <w:rPr>
                <w:rFonts w:ascii="Calibri" w:hAnsi="Calibri"/>
                <w:b/>
                <w:bCs/>
                <w:color w:val="000000"/>
              </w:rPr>
            </w:pPr>
            <w:r>
              <w:rPr>
                <w:rFonts w:ascii="Calibri" w:hAnsi="Calibri"/>
                <w:b/>
                <w:bCs/>
                <w:color w:val="000000"/>
              </w:rPr>
              <w:t>Category</w:t>
            </w:r>
          </w:p>
        </w:tc>
        <w:tc>
          <w:tcPr>
            <w:tcW w:w="3160" w:type="dxa"/>
            <w:gridSpan w:val="2"/>
            <w:tcBorders>
              <w:top w:val="single" w:sz="4" w:space="0" w:color="auto"/>
              <w:left w:val="nil"/>
              <w:bottom w:val="single" w:sz="4" w:space="0" w:color="auto"/>
              <w:right w:val="single" w:sz="4" w:space="0" w:color="auto"/>
            </w:tcBorders>
            <w:shd w:val="pct10" w:color="auto" w:fill="auto"/>
            <w:vAlign w:val="center"/>
            <w:hideMark/>
          </w:tcPr>
          <w:p w14:paraId="0B3020F5" w14:textId="61C01461" w:rsidR="007B0E0D" w:rsidRDefault="007B0E0D">
            <w:pPr>
              <w:jc w:val="center"/>
              <w:rPr>
                <w:rFonts w:ascii="Calibri" w:hAnsi="Calibri"/>
                <w:b/>
                <w:bCs/>
                <w:color w:val="000000"/>
              </w:rPr>
            </w:pPr>
            <w:r>
              <w:rPr>
                <w:rFonts w:ascii="Calibri" w:hAnsi="Calibri"/>
                <w:b/>
                <w:bCs/>
                <w:color w:val="000000"/>
              </w:rPr>
              <w:t>Aquatic Life Standards (µg/L)</w:t>
            </w:r>
          </w:p>
        </w:tc>
        <w:tc>
          <w:tcPr>
            <w:tcW w:w="1880" w:type="dxa"/>
            <w:gridSpan w:val="2"/>
            <w:tcBorders>
              <w:top w:val="single" w:sz="4" w:space="0" w:color="auto"/>
              <w:left w:val="nil"/>
              <w:bottom w:val="single" w:sz="4" w:space="0" w:color="auto"/>
              <w:right w:val="single" w:sz="4" w:space="0" w:color="auto"/>
            </w:tcBorders>
            <w:shd w:val="pct10" w:color="auto" w:fill="auto"/>
            <w:vAlign w:val="center"/>
            <w:hideMark/>
          </w:tcPr>
          <w:p w14:paraId="506D18CA" w14:textId="77777777" w:rsidR="007B0E0D" w:rsidRDefault="007B0E0D">
            <w:pPr>
              <w:jc w:val="center"/>
              <w:rPr>
                <w:rFonts w:ascii="Calibri" w:hAnsi="Calibri"/>
                <w:b/>
                <w:bCs/>
                <w:color w:val="000000"/>
              </w:rPr>
            </w:pPr>
            <w:r>
              <w:rPr>
                <w:rFonts w:ascii="Calibri" w:hAnsi="Calibri"/>
                <w:b/>
                <w:bCs/>
                <w:color w:val="000000"/>
              </w:rPr>
              <w:t>Human Health Standards (µg/L)</w:t>
            </w:r>
          </w:p>
        </w:tc>
        <w:tc>
          <w:tcPr>
            <w:tcW w:w="1000" w:type="dxa"/>
            <w:vMerge w:val="restart"/>
            <w:tcBorders>
              <w:top w:val="single" w:sz="4" w:space="0" w:color="auto"/>
              <w:left w:val="single" w:sz="4" w:space="0" w:color="auto"/>
              <w:bottom w:val="single" w:sz="4" w:space="0" w:color="auto"/>
              <w:right w:val="single" w:sz="4" w:space="0" w:color="auto"/>
            </w:tcBorders>
            <w:shd w:val="pct10" w:color="000000" w:fill="FFFFFF" w:themeFill="background1"/>
            <w:vAlign w:val="center"/>
            <w:hideMark/>
          </w:tcPr>
          <w:p w14:paraId="045CE9A8" w14:textId="77777777" w:rsidR="007B0E0D" w:rsidRDefault="007B0E0D">
            <w:pPr>
              <w:jc w:val="center"/>
              <w:rPr>
                <w:rFonts w:ascii="Calibri" w:hAnsi="Calibri"/>
                <w:b/>
                <w:bCs/>
                <w:color w:val="000000"/>
              </w:rPr>
            </w:pPr>
            <w:r>
              <w:rPr>
                <w:rFonts w:ascii="Calibri" w:hAnsi="Calibri"/>
                <w:b/>
                <w:bCs/>
                <w:color w:val="000000"/>
              </w:rPr>
              <w:t>Trigger Value (µg/L)</w:t>
            </w:r>
          </w:p>
        </w:tc>
        <w:tc>
          <w:tcPr>
            <w:tcW w:w="1050" w:type="dxa"/>
            <w:vMerge w:val="restart"/>
            <w:tcBorders>
              <w:top w:val="single" w:sz="4" w:space="0" w:color="auto"/>
              <w:left w:val="single" w:sz="4" w:space="0" w:color="auto"/>
              <w:bottom w:val="single" w:sz="4" w:space="0" w:color="auto"/>
              <w:right w:val="single" w:sz="4" w:space="0" w:color="auto"/>
            </w:tcBorders>
            <w:shd w:val="pct10" w:color="000000" w:fill="FFFFFF" w:themeFill="background1"/>
            <w:vAlign w:val="center"/>
            <w:hideMark/>
          </w:tcPr>
          <w:p w14:paraId="7B7C9790" w14:textId="77777777" w:rsidR="007B0E0D" w:rsidRDefault="007B0E0D">
            <w:pPr>
              <w:jc w:val="center"/>
              <w:rPr>
                <w:rFonts w:ascii="Calibri" w:hAnsi="Calibri"/>
                <w:b/>
                <w:bCs/>
                <w:color w:val="000000"/>
              </w:rPr>
            </w:pPr>
            <w:r>
              <w:rPr>
                <w:rFonts w:ascii="Calibri" w:hAnsi="Calibri"/>
                <w:b/>
                <w:bCs/>
                <w:color w:val="000000"/>
              </w:rPr>
              <w:t xml:space="preserve">Required Reporting </w:t>
            </w:r>
            <w:proofErr w:type="gramStart"/>
            <w:r>
              <w:rPr>
                <w:rFonts w:ascii="Calibri" w:hAnsi="Calibri"/>
                <w:b/>
                <w:bCs/>
                <w:color w:val="000000"/>
              </w:rPr>
              <w:t>Value  (</w:t>
            </w:r>
            <w:proofErr w:type="gramEnd"/>
            <w:r>
              <w:rPr>
                <w:rFonts w:ascii="Calibri" w:hAnsi="Calibri"/>
                <w:b/>
                <w:bCs/>
                <w:color w:val="000000"/>
              </w:rPr>
              <w:t>µg/L)</w:t>
            </w:r>
          </w:p>
        </w:tc>
      </w:tr>
      <w:tr w:rsidR="007B0E0D" w14:paraId="3369901A" w14:textId="77777777" w:rsidTr="00EA09EC">
        <w:trPr>
          <w:trHeight w:val="52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7209AC" w14:textId="77777777" w:rsidR="007B0E0D" w:rsidRDefault="007B0E0D">
            <w:pPr>
              <w:rPr>
                <w:rFonts w:ascii="Calibri" w:hAnsi="Calibri"/>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9C7F4" w14:textId="77777777" w:rsidR="007B0E0D" w:rsidRDefault="007B0E0D">
            <w:pPr>
              <w:rPr>
                <w:rFonts w:ascii="Calibri" w:hAnsi="Calibri"/>
                <w:b/>
                <w:bCs/>
                <w:color w:val="000000"/>
              </w:rPr>
            </w:pPr>
          </w:p>
        </w:tc>
        <w:tc>
          <w:tcPr>
            <w:tcW w:w="1435" w:type="dxa"/>
            <w:tcBorders>
              <w:top w:val="nil"/>
              <w:left w:val="nil"/>
              <w:bottom w:val="single" w:sz="4" w:space="0" w:color="auto"/>
              <w:right w:val="single" w:sz="4" w:space="0" w:color="auto"/>
            </w:tcBorders>
            <w:shd w:val="pct10" w:color="auto" w:fill="auto"/>
            <w:vAlign w:val="center"/>
            <w:hideMark/>
          </w:tcPr>
          <w:p w14:paraId="57A8A585" w14:textId="77777777" w:rsidR="007B0E0D" w:rsidRDefault="007B0E0D">
            <w:pPr>
              <w:jc w:val="center"/>
              <w:rPr>
                <w:rFonts w:ascii="Calibri" w:hAnsi="Calibri"/>
                <w:b/>
                <w:bCs/>
                <w:color w:val="000000"/>
              </w:rPr>
            </w:pPr>
            <w:r>
              <w:rPr>
                <w:rFonts w:ascii="Calibri" w:hAnsi="Calibri"/>
                <w:b/>
                <w:bCs/>
                <w:color w:val="000000"/>
              </w:rPr>
              <w:t>Acute</w:t>
            </w:r>
          </w:p>
        </w:tc>
        <w:tc>
          <w:tcPr>
            <w:tcW w:w="1725" w:type="dxa"/>
            <w:tcBorders>
              <w:top w:val="nil"/>
              <w:left w:val="nil"/>
              <w:bottom w:val="single" w:sz="4" w:space="0" w:color="auto"/>
              <w:right w:val="single" w:sz="4" w:space="0" w:color="auto"/>
            </w:tcBorders>
            <w:shd w:val="pct10" w:color="auto" w:fill="auto"/>
            <w:vAlign w:val="center"/>
            <w:hideMark/>
          </w:tcPr>
          <w:p w14:paraId="7BE2BCE6" w14:textId="77777777" w:rsidR="007B0E0D" w:rsidRDefault="007B0E0D">
            <w:pPr>
              <w:jc w:val="center"/>
              <w:rPr>
                <w:rFonts w:ascii="Calibri" w:hAnsi="Calibri"/>
                <w:b/>
                <w:bCs/>
                <w:color w:val="000000"/>
              </w:rPr>
            </w:pPr>
            <w:r>
              <w:rPr>
                <w:rFonts w:ascii="Calibri" w:hAnsi="Calibri"/>
                <w:b/>
                <w:bCs/>
                <w:color w:val="000000"/>
              </w:rPr>
              <w:t>Chronic</w:t>
            </w:r>
          </w:p>
        </w:tc>
        <w:tc>
          <w:tcPr>
            <w:tcW w:w="940" w:type="dxa"/>
            <w:tcBorders>
              <w:top w:val="nil"/>
              <w:left w:val="nil"/>
              <w:bottom w:val="single" w:sz="4" w:space="0" w:color="auto"/>
              <w:right w:val="single" w:sz="4" w:space="0" w:color="auto"/>
            </w:tcBorders>
            <w:shd w:val="pct10" w:color="auto" w:fill="auto"/>
            <w:vAlign w:val="center"/>
            <w:hideMark/>
          </w:tcPr>
          <w:p w14:paraId="4475BEBD" w14:textId="77777777" w:rsidR="007B0E0D" w:rsidRDefault="007B0E0D">
            <w:pPr>
              <w:jc w:val="center"/>
              <w:rPr>
                <w:rFonts w:ascii="Calibri" w:hAnsi="Calibri"/>
                <w:b/>
                <w:bCs/>
                <w:color w:val="000000"/>
              </w:rPr>
            </w:pPr>
            <w:r>
              <w:rPr>
                <w:rFonts w:ascii="Calibri" w:hAnsi="Calibri"/>
                <w:b/>
                <w:bCs/>
                <w:color w:val="000000"/>
              </w:rPr>
              <w:t>Surface Water</w:t>
            </w:r>
          </w:p>
        </w:tc>
        <w:tc>
          <w:tcPr>
            <w:tcW w:w="940" w:type="dxa"/>
            <w:tcBorders>
              <w:top w:val="nil"/>
              <w:left w:val="nil"/>
              <w:bottom w:val="single" w:sz="4" w:space="0" w:color="auto"/>
              <w:right w:val="single" w:sz="4" w:space="0" w:color="auto"/>
            </w:tcBorders>
            <w:shd w:val="pct10" w:color="auto" w:fill="auto"/>
            <w:vAlign w:val="center"/>
            <w:hideMark/>
          </w:tcPr>
          <w:p w14:paraId="742323CF" w14:textId="77777777" w:rsidR="007B0E0D" w:rsidRDefault="007B0E0D">
            <w:pPr>
              <w:jc w:val="center"/>
              <w:rPr>
                <w:rFonts w:ascii="Calibri" w:hAnsi="Calibri"/>
                <w:b/>
                <w:bCs/>
                <w:color w:val="000000"/>
              </w:rPr>
            </w:pPr>
            <w:r>
              <w:rPr>
                <w:rFonts w:ascii="Calibri" w:hAnsi="Calibri"/>
                <w:b/>
                <w:bCs/>
                <w:color w:val="000000"/>
              </w:rPr>
              <w:t>Ground Water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21C386" w14:textId="77777777" w:rsidR="007B0E0D" w:rsidRDefault="007B0E0D">
            <w:pPr>
              <w:rPr>
                <w:rFonts w:ascii="Calibri" w:hAnsi="Calibri"/>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56A0F4" w14:textId="77777777" w:rsidR="007B0E0D" w:rsidRDefault="007B0E0D">
            <w:pPr>
              <w:rPr>
                <w:rFonts w:ascii="Calibri" w:hAnsi="Calibri"/>
                <w:b/>
                <w:bCs/>
                <w:color w:val="000000"/>
              </w:rPr>
            </w:pPr>
          </w:p>
        </w:tc>
      </w:tr>
      <w:tr w:rsidR="007B0E0D" w14:paraId="496F98EA" w14:textId="77777777" w:rsidTr="00C6280D">
        <w:trPr>
          <w:trHeight w:hRule="exact" w:val="720"/>
        </w:trPr>
        <w:tc>
          <w:tcPr>
            <w:tcW w:w="1241" w:type="dxa"/>
            <w:tcBorders>
              <w:top w:val="nil"/>
              <w:left w:val="single" w:sz="4" w:space="0" w:color="auto"/>
              <w:bottom w:val="single" w:sz="4" w:space="0" w:color="auto"/>
              <w:right w:val="single" w:sz="4" w:space="0" w:color="auto"/>
            </w:tcBorders>
            <w:vAlign w:val="center"/>
            <w:hideMark/>
          </w:tcPr>
          <w:p w14:paraId="73CA0FA8" w14:textId="77777777" w:rsidR="007B0E0D" w:rsidRPr="00C6280D" w:rsidRDefault="007B0E0D">
            <w:pPr>
              <w:jc w:val="center"/>
              <w:rPr>
                <w:rFonts w:ascii="Calibri" w:hAnsi="Calibri"/>
                <w:color w:val="000000"/>
                <w:sz w:val="20"/>
              </w:rPr>
            </w:pPr>
            <w:r w:rsidRPr="00C6280D">
              <w:rPr>
                <w:rFonts w:ascii="Calibri" w:hAnsi="Calibri"/>
                <w:color w:val="000000"/>
                <w:sz w:val="20"/>
              </w:rPr>
              <w:t>Ammonia</w:t>
            </w:r>
          </w:p>
        </w:tc>
        <w:tc>
          <w:tcPr>
            <w:tcW w:w="1160" w:type="dxa"/>
            <w:tcBorders>
              <w:top w:val="nil"/>
              <w:left w:val="nil"/>
              <w:bottom w:val="single" w:sz="4" w:space="0" w:color="auto"/>
              <w:right w:val="single" w:sz="4" w:space="0" w:color="auto"/>
            </w:tcBorders>
            <w:vAlign w:val="center"/>
            <w:hideMark/>
          </w:tcPr>
          <w:p w14:paraId="29C7948C" w14:textId="77777777" w:rsidR="007B0E0D" w:rsidRPr="00C6280D" w:rsidRDefault="007B0E0D">
            <w:pPr>
              <w:jc w:val="center"/>
              <w:rPr>
                <w:rFonts w:ascii="Calibri" w:hAnsi="Calibri"/>
                <w:color w:val="000000"/>
                <w:sz w:val="20"/>
              </w:rPr>
            </w:pPr>
            <w:r w:rsidRPr="00C6280D">
              <w:rPr>
                <w:rFonts w:ascii="Calibri" w:hAnsi="Calibri"/>
                <w:color w:val="000000"/>
                <w:sz w:val="20"/>
              </w:rPr>
              <w:t>Toxic</w:t>
            </w:r>
          </w:p>
        </w:tc>
        <w:tc>
          <w:tcPr>
            <w:tcW w:w="3160" w:type="dxa"/>
            <w:gridSpan w:val="2"/>
            <w:tcBorders>
              <w:top w:val="single" w:sz="4" w:space="0" w:color="auto"/>
              <w:left w:val="nil"/>
              <w:bottom w:val="single" w:sz="4" w:space="0" w:color="auto"/>
              <w:right w:val="single" w:sz="4" w:space="0" w:color="auto"/>
            </w:tcBorders>
            <w:vAlign w:val="center"/>
            <w:hideMark/>
          </w:tcPr>
          <w:p w14:paraId="689A83B7" w14:textId="77777777" w:rsidR="007B0E0D" w:rsidRPr="00C6280D" w:rsidRDefault="007B0E0D">
            <w:pPr>
              <w:jc w:val="center"/>
              <w:rPr>
                <w:rFonts w:ascii="Calibri" w:hAnsi="Calibri"/>
                <w:color w:val="000000"/>
                <w:sz w:val="20"/>
              </w:rPr>
            </w:pPr>
            <w:r w:rsidRPr="00C6280D">
              <w:rPr>
                <w:rFonts w:ascii="Calibri" w:hAnsi="Calibri"/>
                <w:color w:val="000000"/>
                <w:sz w:val="20"/>
              </w:rPr>
              <w:t>varies based on pH and temp., may cause conditions which produce undesirable aquatic life</w:t>
            </w:r>
          </w:p>
        </w:tc>
        <w:tc>
          <w:tcPr>
            <w:tcW w:w="940" w:type="dxa"/>
            <w:tcBorders>
              <w:top w:val="nil"/>
              <w:left w:val="nil"/>
              <w:bottom w:val="single" w:sz="4" w:space="0" w:color="auto"/>
              <w:right w:val="single" w:sz="4" w:space="0" w:color="auto"/>
            </w:tcBorders>
            <w:vAlign w:val="center"/>
            <w:hideMark/>
          </w:tcPr>
          <w:p w14:paraId="0ABC00EA" w14:textId="77777777" w:rsidR="007B0E0D" w:rsidRPr="00C6280D" w:rsidRDefault="007B0E0D">
            <w:pPr>
              <w:jc w:val="center"/>
              <w:rPr>
                <w:rFonts w:ascii="Calibri" w:hAnsi="Calibri"/>
                <w:color w:val="000000"/>
                <w:sz w:val="20"/>
              </w:rPr>
            </w:pPr>
            <w:r w:rsidRPr="00C6280D">
              <w:rPr>
                <w:rFonts w:ascii="Calibri" w:hAnsi="Calibri"/>
                <w:color w:val="000000"/>
                <w:sz w:val="20"/>
              </w:rPr>
              <w:t> </w:t>
            </w:r>
          </w:p>
        </w:tc>
        <w:tc>
          <w:tcPr>
            <w:tcW w:w="940" w:type="dxa"/>
            <w:tcBorders>
              <w:top w:val="nil"/>
              <w:left w:val="nil"/>
              <w:bottom w:val="single" w:sz="4" w:space="0" w:color="auto"/>
              <w:right w:val="single" w:sz="4" w:space="0" w:color="auto"/>
            </w:tcBorders>
            <w:vAlign w:val="center"/>
            <w:hideMark/>
          </w:tcPr>
          <w:p w14:paraId="697BC707" w14:textId="77777777" w:rsidR="007B0E0D" w:rsidRPr="00C6280D" w:rsidRDefault="007B0E0D">
            <w:pPr>
              <w:jc w:val="center"/>
              <w:rPr>
                <w:rFonts w:ascii="Calibri" w:hAnsi="Calibri"/>
                <w:color w:val="000000"/>
                <w:sz w:val="20"/>
              </w:rPr>
            </w:pPr>
            <w:r w:rsidRPr="00C6280D">
              <w:rPr>
                <w:rFonts w:ascii="Calibri" w:hAnsi="Calibri"/>
                <w:color w:val="000000"/>
                <w:sz w:val="20"/>
              </w:rPr>
              <w:t> </w:t>
            </w:r>
          </w:p>
        </w:tc>
        <w:tc>
          <w:tcPr>
            <w:tcW w:w="1000" w:type="dxa"/>
            <w:tcBorders>
              <w:top w:val="nil"/>
              <w:left w:val="nil"/>
              <w:bottom w:val="single" w:sz="4" w:space="0" w:color="auto"/>
              <w:right w:val="single" w:sz="4" w:space="0" w:color="auto"/>
            </w:tcBorders>
            <w:vAlign w:val="center"/>
            <w:hideMark/>
          </w:tcPr>
          <w:p w14:paraId="4C8F5652" w14:textId="77777777" w:rsidR="007B0E0D" w:rsidRPr="00C6280D" w:rsidRDefault="007B0E0D">
            <w:pPr>
              <w:jc w:val="center"/>
              <w:rPr>
                <w:rFonts w:ascii="Calibri" w:hAnsi="Calibri"/>
                <w:color w:val="000000"/>
                <w:sz w:val="20"/>
              </w:rPr>
            </w:pPr>
            <w:r w:rsidRPr="00C6280D">
              <w:rPr>
                <w:rFonts w:ascii="Calibri" w:hAnsi="Calibri"/>
                <w:color w:val="000000"/>
                <w:sz w:val="20"/>
              </w:rPr>
              <w:t>10</w:t>
            </w:r>
          </w:p>
        </w:tc>
        <w:tc>
          <w:tcPr>
            <w:tcW w:w="1050" w:type="dxa"/>
            <w:tcBorders>
              <w:top w:val="nil"/>
              <w:left w:val="nil"/>
              <w:bottom w:val="single" w:sz="4" w:space="0" w:color="auto"/>
              <w:right w:val="single" w:sz="4" w:space="0" w:color="auto"/>
            </w:tcBorders>
            <w:vAlign w:val="center"/>
            <w:hideMark/>
          </w:tcPr>
          <w:p w14:paraId="31EF6E84" w14:textId="77777777" w:rsidR="007B0E0D" w:rsidRPr="00C6280D" w:rsidRDefault="007B0E0D">
            <w:pPr>
              <w:jc w:val="center"/>
              <w:rPr>
                <w:rFonts w:ascii="Calibri" w:hAnsi="Calibri"/>
                <w:color w:val="000000"/>
                <w:sz w:val="20"/>
              </w:rPr>
            </w:pPr>
            <w:r w:rsidRPr="00C6280D">
              <w:rPr>
                <w:rFonts w:ascii="Calibri" w:hAnsi="Calibri"/>
                <w:color w:val="000000"/>
                <w:sz w:val="20"/>
              </w:rPr>
              <w:t>70</w:t>
            </w:r>
          </w:p>
        </w:tc>
      </w:tr>
      <w:tr w:rsidR="007B0E0D" w14:paraId="0D50FA10" w14:textId="77777777" w:rsidTr="00C6280D">
        <w:trPr>
          <w:trHeight w:hRule="exact" w:val="720"/>
        </w:trPr>
        <w:tc>
          <w:tcPr>
            <w:tcW w:w="1241" w:type="dxa"/>
            <w:tcBorders>
              <w:top w:val="nil"/>
              <w:left w:val="single" w:sz="4" w:space="0" w:color="auto"/>
              <w:bottom w:val="single" w:sz="4" w:space="0" w:color="auto"/>
              <w:right w:val="single" w:sz="4" w:space="0" w:color="auto"/>
            </w:tcBorders>
            <w:vAlign w:val="center"/>
            <w:hideMark/>
          </w:tcPr>
          <w:p w14:paraId="594A367A" w14:textId="77777777" w:rsidR="007B0E0D" w:rsidRPr="00C6280D" w:rsidRDefault="007B0E0D">
            <w:pPr>
              <w:jc w:val="center"/>
              <w:rPr>
                <w:rFonts w:ascii="Calibri" w:hAnsi="Calibri"/>
                <w:color w:val="000000"/>
                <w:sz w:val="20"/>
              </w:rPr>
            </w:pPr>
            <w:r w:rsidRPr="00C6280D">
              <w:rPr>
                <w:rFonts w:ascii="Calibri" w:hAnsi="Calibri"/>
                <w:color w:val="000000"/>
                <w:sz w:val="20"/>
              </w:rPr>
              <w:t>Nitrate + Nitrite</w:t>
            </w:r>
          </w:p>
        </w:tc>
        <w:tc>
          <w:tcPr>
            <w:tcW w:w="1160" w:type="dxa"/>
            <w:tcBorders>
              <w:top w:val="nil"/>
              <w:left w:val="nil"/>
              <w:bottom w:val="single" w:sz="4" w:space="0" w:color="auto"/>
              <w:right w:val="single" w:sz="4" w:space="0" w:color="auto"/>
            </w:tcBorders>
            <w:vAlign w:val="center"/>
            <w:hideMark/>
          </w:tcPr>
          <w:p w14:paraId="0F18CEA0" w14:textId="77777777" w:rsidR="007B0E0D" w:rsidRPr="00C6280D" w:rsidRDefault="007B0E0D">
            <w:pPr>
              <w:jc w:val="center"/>
              <w:rPr>
                <w:rFonts w:ascii="Calibri" w:hAnsi="Calibri"/>
                <w:color w:val="000000"/>
                <w:sz w:val="20"/>
              </w:rPr>
            </w:pPr>
            <w:r w:rsidRPr="00C6280D">
              <w:rPr>
                <w:rFonts w:ascii="Calibri" w:hAnsi="Calibri"/>
                <w:color w:val="000000"/>
                <w:sz w:val="20"/>
              </w:rPr>
              <w:t>Toxic</w:t>
            </w:r>
          </w:p>
        </w:tc>
        <w:tc>
          <w:tcPr>
            <w:tcW w:w="3160" w:type="dxa"/>
            <w:gridSpan w:val="2"/>
            <w:tcBorders>
              <w:top w:val="single" w:sz="4" w:space="0" w:color="auto"/>
              <w:left w:val="nil"/>
              <w:bottom w:val="single" w:sz="4" w:space="0" w:color="auto"/>
              <w:right w:val="single" w:sz="4" w:space="0" w:color="auto"/>
            </w:tcBorders>
            <w:vAlign w:val="center"/>
            <w:hideMark/>
          </w:tcPr>
          <w:p w14:paraId="45BB7D9B" w14:textId="77777777" w:rsidR="007B0E0D" w:rsidRPr="00C6280D" w:rsidRDefault="007B0E0D">
            <w:pPr>
              <w:jc w:val="center"/>
              <w:rPr>
                <w:rFonts w:ascii="Calibri" w:hAnsi="Calibri"/>
                <w:color w:val="000000"/>
                <w:sz w:val="20"/>
              </w:rPr>
            </w:pPr>
            <w:r w:rsidRPr="00C6280D">
              <w:rPr>
                <w:rFonts w:ascii="Calibri" w:hAnsi="Calibri"/>
                <w:color w:val="000000"/>
                <w:sz w:val="20"/>
              </w:rPr>
              <w:t>may cause conditions which produce undesirable aquatic life</w:t>
            </w:r>
            <w:r w:rsidRPr="00C6280D">
              <w:rPr>
                <w:rFonts w:ascii="Calibri" w:hAnsi="Calibri"/>
                <w:color w:val="000000"/>
                <w:sz w:val="20"/>
                <w:vertAlign w:val="superscript"/>
              </w:rPr>
              <w:t>1</w:t>
            </w:r>
          </w:p>
        </w:tc>
        <w:tc>
          <w:tcPr>
            <w:tcW w:w="940" w:type="dxa"/>
            <w:tcBorders>
              <w:top w:val="nil"/>
              <w:left w:val="nil"/>
              <w:bottom w:val="single" w:sz="4" w:space="0" w:color="auto"/>
              <w:right w:val="single" w:sz="4" w:space="0" w:color="auto"/>
            </w:tcBorders>
            <w:vAlign w:val="center"/>
            <w:hideMark/>
          </w:tcPr>
          <w:p w14:paraId="44CE86F7" w14:textId="77777777" w:rsidR="007B0E0D" w:rsidRPr="00C6280D" w:rsidRDefault="007B0E0D">
            <w:pPr>
              <w:jc w:val="center"/>
              <w:rPr>
                <w:rFonts w:ascii="Calibri" w:hAnsi="Calibri"/>
                <w:color w:val="000000"/>
                <w:sz w:val="20"/>
              </w:rPr>
            </w:pPr>
            <w:r w:rsidRPr="00C6280D">
              <w:rPr>
                <w:rFonts w:ascii="Calibri" w:hAnsi="Calibri"/>
                <w:color w:val="000000"/>
                <w:sz w:val="20"/>
              </w:rPr>
              <w:t>10000</w:t>
            </w:r>
          </w:p>
        </w:tc>
        <w:tc>
          <w:tcPr>
            <w:tcW w:w="940" w:type="dxa"/>
            <w:tcBorders>
              <w:top w:val="nil"/>
              <w:left w:val="nil"/>
              <w:bottom w:val="single" w:sz="4" w:space="0" w:color="auto"/>
              <w:right w:val="single" w:sz="4" w:space="0" w:color="auto"/>
            </w:tcBorders>
            <w:vAlign w:val="center"/>
            <w:hideMark/>
          </w:tcPr>
          <w:p w14:paraId="421C7B89" w14:textId="77777777" w:rsidR="007B0E0D" w:rsidRPr="00C6280D" w:rsidRDefault="007B0E0D">
            <w:pPr>
              <w:jc w:val="center"/>
              <w:rPr>
                <w:rFonts w:ascii="Calibri" w:hAnsi="Calibri"/>
                <w:color w:val="000000"/>
                <w:sz w:val="20"/>
              </w:rPr>
            </w:pPr>
            <w:r w:rsidRPr="00C6280D">
              <w:rPr>
                <w:rFonts w:ascii="Calibri" w:hAnsi="Calibri"/>
                <w:color w:val="000000"/>
                <w:sz w:val="20"/>
              </w:rPr>
              <w:t>10000</w:t>
            </w:r>
          </w:p>
        </w:tc>
        <w:tc>
          <w:tcPr>
            <w:tcW w:w="1000" w:type="dxa"/>
            <w:tcBorders>
              <w:top w:val="nil"/>
              <w:left w:val="nil"/>
              <w:bottom w:val="single" w:sz="4" w:space="0" w:color="auto"/>
              <w:right w:val="single" w:sz="4" w:space="0" w:color="auto"/>
            </w:tcBorders>
            <w:vAlign w:val="center"/>
            <w:hideMark/>
          </w:tcPr>
          <w:p w14:paraId="59BC0D63" w14:textId="77777777" w:rsidR="007B0E0D" w:rsidRPr="00C6280D" w:rsidRDefault="007B0E0D">
            <w:pPr>
              <w:jc w:val="center"/>
              <w:rPr>
                <w:rFonts w:ascii="Calibri" w:hAnsi="Calibri"/>
                <w:color w:val="000000"/>
                <w:sz w:val="20"/>
              </w:rPr>
            </w:pPr>
            <w:r w:rsidRPr="00C6280D">
              <w:rPr>
                <w:rFonts w:ascii="Calibri" w:hAnsi="Calibri"/>
                <w:color w:val="000000"/>
                <w:sz w:val="20"/>
              </w:rPr>
              <w:t>10</w:t>
            </w:r>
          </w:p>
        </w:tc>
        <w:tc>
          <w:tcPr>
            <w:tcW w:w="1050" w:type="dxa"/>
            <w:tcBorders>
              <w:top w:val="nil"/>
              <w:left w:val="nil"/>
              <w:bottom w:val="single" w:sz="4" w:space="0" w:color="auto"/>
              <w:right w:val="single" w:sz="4" w:space="0" w:color="auto"/>
            </w:tcBorders>
            <w:vAlign w:val="center"/>
            <w:hideMark/>
          </w:tcPr>
          <w:p w14:paraId="1E5A67E8" w14:textId="77777777" w:rsidR="007B0E0D" w:rsidRPr="00C6280D" w:rsidRDefault="007B0E0D">
            <w:pPr>
              <w:jc w:val="center"/>
              <w:rPr>
                <w:rFonts w:ascii="Calibri" w:hAnsi="Calibri"/>
                <w:color w:val="000000"/>
                <w:sz w:val="20"/>
              </w:rPr>
            </w:pPr>
            <w:r w:rsidRPr="00C6280D">
              <w:rPr>
                <w:rFonts w:ascii="Calibri" w:hAnsi="Calibri"/>
                <w:color w:val="000000"/>
                <w:sz w:val="20"/>
              </w:rPr>
              <w:t>20</w:t>
            </w:r>
          </w:p>
        </w:tc>
      </w:tr>
      <w:tr w:rsidR="007B0E0D" w14:paraId="01E89EE2" w14:textId="77777777" w:rsidTr="00C6280D">
        <w:trPr>
          <w:trHeight w:hRule="exact" w:val="720"/>
        </w:trPr>
        <w:tc>
          <w:tcPr>
            <w:tcW w:w="1241" w:type="dxa"/>
            <w:tcBorders>
              <w:top w:val="nil"/>
              <w:left w:val="single" w:sz="4" w:space="0" w:color="auto"/>
              <w:bottom w:val="single" w:sz="4" w:space="0" w:color="auto"/>
              <w:right w:val="single" w:sz="4" w:space="0" w:color="auto"/>
            </w:tcBorders>
            <w:vAlign w:val="center"/>
            <w:hideMark/>
          </w:tcPr>
          <w:p w14:paraId="7695F5ED" w14:textId="77777777" w:rsidR="007B0E0D" w:rsidRPr="00C6280D" w:rsidRDefault="007B0E0D">
            <w:pPr>
              <w:jc w:val="center"/>
              <w:rPr>
                <w:rFonts w:ascii="Calibri" w:hAnsi="Calibri"/>
                <w:color w:val="000000"/>
                <w:sz w:val="20"/>
              </w:rPr>
            </w:pPr>
            <w:r w:rsidRPr="00C6280D">
              <w:rPr>
                <w:rFonts w:ascii="Calibri" w:hAnsi="Calibri"/>
                <w:color w:val="000000"/>
                <w:sz w:val="20"/>
              </w:rPr>
              <w:t>Nitrogen, total inorganic</w:t>
            </w:r>
          </w:p>
        </w:tc>
        <w:tc>
          <w:tcPr>
            <w:tcW w:w="1160" w:type="dxa"/>
            <w:tcBorders>
              <w:top w:val="nil"/>
              <w:left w:val="nil"/>
              <w:bottom w:val="single" w:sz="4" w:space="0" w:color="auto"/>
              <w:right w:val="single" w:sz="4" w:space="0" w:color="auto"/>
            </w:tcBorders>
            <w:vAlign w:val="center"/>
            <w:hideMark/>
          </w:tcPr>
          <w:p w14:paraId="72087530" w14:textId="77777777" w:rsidR="007B0E0D" w:rsidRPr="00C6280D" w:rsidRDefault="007B0E0D">
            <w:pPr>
              <w:jc w:val="center"/>
              <w:rPr>
                <w:rFonts w:ascii="Calibri" w:hAnsi="Calibri"/>
                <w:color w:val="000000"/>
                <w:sz w:val="20"/>
              </w:rPr>
            </w:pPr>
            <w:r w:rsidRPr="00C6280D">
              <w:rPr>
                <w:rFonts w:ascii="Calibri" w:hAnsi="Calibri"/>
                <w:color w:val="000000"/>
                <w:sz w:val="20"/>
              </w:rPr>
              <w:t>Nutrient</w:t>
            </w:r>
          </w:p>
        </w:tc>
        <w:tc>
          <w:tcPr>
            <w:tcW w:w="3160" w:type="dxa"/>
            <w:gridSpan w:val="2"/>
            <w:tcBorders>
              <w:top w:val="single" w:sz="4" w:space="0" w:color="auto"/>
              <w:left w:val="nil"/>
              <w:bottom w:val="single" w:sz="4" w:space="0" w:color="auto"/>
              <w:right w:val="single" w:sz="4" w:space="0" w:color="auto"/>
            </w:tcBorders>
            <w:vAlign w:val="center"/>
            <w:hideMark/>
          </w:tcPr>
          <w:p w14:paraId="4984A873" w14:textId="77777777" w:rsidR="007B0E0D" w:rsidRPr="00C6280D" w:rsidRDefault="007B0E0D">
            <w:pPr>
              <w:jc w:val="center"/>
              <w:rPr>
                <w:rFonts w:ascii="Calibri" w:hAnsi="Calibri"/>
                <w:color w:val="000000"/>
                <w:sz w:val="20"/>
              </w:rPr>
            </w:pPr>
            <w:r w:rsidRPr="00C6280D">
              <w:rPr>
                <w:rFonts w:ascii="Calibri" w:hAnsi="Calibri"/>
                <w:color w:val="000000"/>
                <w:sz w:val="20"/>
              </w:rPr>
              <w:t>may cause conditions which produce undesirable aquatic life</w:t>
            </w:r>
          </w:p>
        </w:tc>
        <w:tc>
          <w:tcPr>
            <w:tcW w:w="940" w:type="dxa"/>
            <w:tcBorders>
              <w:top w:val="nil"/>
              <w:left w:val="nil"/>
              <w:bottom w:val="single" w:sz="4" w:space="0" w:color="auto"/>
              <w:right w:val="single" w:sz="4" w:space="0" w:color="auto"/>
            </w:tcBorders>
            <w:vAlign w:val="center"/>
            <w:hideMark/>
          </w:tcPr>
          <w:p w14:paraId="013F20EB" w14:textId="77777777" w:rsidR="007B0E0D" w:rsidRPr="00C6280D" w:rsidRDefault="007B0E0D">
            <w:pPr>
              <w:jc w:val="center"/>
              <w:rPr>
                <w:rFonts w:ascii="Calibri" w:hAnsi="Calibri"/>
                <w:color w:val="000000"/>
                <w:sz w:val="20"/>
              </w:rPr>
            </w:pPr>
            <w:r w:rsidRPr="00C6280D">
              <w:rPr>
                <w:rFonts w:ascii="Calibri" w:hAnsi="Calibri"/>
                <w:color w:val="000000"/>
                <w:sz w:val="20"/>
              </w:rPr>
              <w:t> </w:t>
            </w:r>
          </w:p>
        </w:tc>
        <w:tc>
          <w:tcPr>
            <w:tcW w:w="940" w:type="dxa"/>
            <w:tcBorders>
              <w:top w:val="nil"/>
              <w:left w:val="nil"/>
              <w:bottom w:val="single" w:sz="4" w:space="0" w:color="auto"/>
              <w:right w:val="single" w:sz="4" w:space="0" w:color="auto"/>
            </w:tcBorders>
            <w:vAlign w:val="center"/>
            <w:hideMark/>
          </w:tcPr>
          <w:p w14:paraId="6DDE8261" w14:textId="77777777" w:rsidR="007B0E0D" w:rsidRPr="00C6280D" w:rsidRDefault="007B0E0D">
            <w:pPr>
              <w:jc w:val="center"/>
              <w:rPr>
                <w:rFonts w:ascii="Calibri" w:hAnsi="Calibri"/>
                <w:color w:val="000000"/>
                <w:sz w:val="20"/>
              </w:rPr>
            </w:pPr>
            <w:r w:rsidRPr="00C6280D">
              <w:rPr>
                <w:rFonts w:ascii="Calibri" w:hAnsi="Calibri"/>
                <w:color w:val="000000"/>
                <w:sz w:val="20"/>
              </w:rPr>
              <w:t> </w:t>
            </w:r>
          </w:p>
        </w:tc>
        <w:tc>
          <w:tcPr>
            <w:tcW w:w="1000" w:type="dxa"/>
            <w:tcBorders>
              <w:top w:val="nil"/>
              <w:left w:val="nil"/>
              <w:bottom w:val="single" w:sz="4" w:space="0" w:color="auto"/>
              <w:right w:val="single" w:sz="4" w:space="0" w:color="auto"/>
            </w:tcBorders>
            <w:vAlign w:val="center"/>
            <w:hideMark/>
          </w:tcPr>
          <w:p w14:paraId="0C3CA71F" w14:textId="77777777" w:rsidR="007B0E0D" w:rsidRPr="00C6280D" w:rsidRDefault="007B0E0D">
            <w:pPr>
              <w:jc w:val="center"/>
              <w:rPr>
                <w:rFonts w:ascii="Calibri" w:hAnsi="Calibri"/>
                <w:color w:val="000000"/>
                <w:sz w:val="20"/>
              </w:rPr>
            </w:pPr>
            <w:r w:rsidRPr="00C6280D">
              <w:rPr>
                <w:rFonts w:ascii="Calibri" w:hAnsi="Calibri"/>
                <w:color w:val="000000"/>
                <w:sz w:val="20"/>
              </w:rPr>
              <w:t>10</w:t>
            </w:r>
          </w:p>
        </w:tc>
        <w:tc>
          <w:tcPr>
            <w:tcW w:w="1050" w:type="dxa"/>
            <w:tcBorders>
              <w:top w:val="nil"/>
              <w:left w:val="nil"/>
              <w:bottom w:val="single" w:sz="4" w:space="0" w:color="auto"/>
              <w:right w:val="single" w:sz="4" w:space="0" w:color="auto"/>
            </w:tcBorders>
            <w:vAlign w:val="center"/>
            <w:hideMark/>
          </w:tcPr>
          <w:p w14:paraId="0DE4143A" w14:textId="77777777" w:rsidR="007B0E0D" w:rsidRPr="00C6280D" w:rsidRDefault="007B0E0D">
            <w:pPr>
              <w:jc w:val="center"/>
              <w:rPr>
                <w:rFonts w:ascii="Calibri" w:hAnsi="Calibri"/>
                <w:color w:val="000000"/>
                <w:sz w:val="20"/>
              </w:rPr>
            </w:pPr>
            <w:r w:rsidRPr="00C6280D">
              <w:rPr>
                <w:rFonts w:ascii="Calibri" w:hAnsi="Calibri"/>
                <w:color w:val="000000"/>
                <w:sz w:val="20"/>
              </w:rPr>
              <w:t>10</w:t>
            </w:r>
          </w:p>
        </w:tc>
      </w:tr>
      <w:tr w:rsidR="007B0E0D" w14:paraId="79A40EEB" w14:textId="77777777" w:rsidTr="00C6280D">
        <w:trPr>
          <w:trHeight w:hRule="exact" w:val="720"/>
        </w:trPr>
        <w:tc>
          <w:tcPr>
            <w:tcW w:w="1241" w:type="dxa"/>
            <w:tcBorders>
              <w:top w:val="nil"/>
              <w:left w:val="single" w:sz="4" w:space="0" w:color="auto"/>
              <w:bottom w:val="single" w:sz="4" w:space="0" w:color="auto"/>
              <w:right w:val="single" w:sz="4" w:space="0" w:color="auto"/>
            </w:tcBorders>
            <w:vAlign w:val="center"/>
            <w:hideMark/>
          </w:tcPr>
          <w:p w14:paraId="54240537" w14:textId="77777777" w:rsidR="007B0E0D" w:rsidRPr="00C6280D" w:rsidRDefault="007B0E0D">
            <w:pPr>
              <w:jc w:val="center"/>
              <w:rPr>
                <w:rFonts w:ascii="Calibri" w:hAnsi="Calibri"/>
                <w:color w:val="000000"/>
                <w:sz w:val="20"/>
              </w:rPr>
            </w:pPr>
            <w:r w:rsidRPr="00C6280D">
              <w:rPr>
                <w:rFonts w:ascii="Calibri" w:hAnsi="Calibri"/>
                <w:color w:val="000000"/>
                <w:sz w:val="20"/>
              </w:rPr>
              <w:t>Dissolved Oxygen</w:t>
            </w:r>
          </w:p>
        </w:tc>
        <w:tc>
          <w:tcPr>
            <w:tcW w:w="1160" w:type="dxa"/>
            <w:tcBorders>
              <w:top w:val="nil"/>
              <w:left w:val="nil"/>
              <w:bottom w:val="single" w:sz="4" w:space="0" w:color="auto"/>
              <w:right w:val="single" w:sz="4" w:space="0" w:color="auto"/>
            </w:tcBorders>
            <w:vAlign w:val="center"/>
            <w:hideMark/>
          </w:tcPr>
          <w:p w14:paraId="04E8E2E8" w14:textId="77777777" w:rsidR="007B0E0D" w:rsidRPr="00C6280D" w:rsidRDefault="007B0E0D">
            <w:pPr>
              <w:jc w:val="center"/>
              <w:rPr>
                <w:rFonts w:ascii="Calibri" w:hAnsi="Calibri"/>
                <w:color w:val="000000"/>
                <w:sz w:val="20"/>
              </w:rPr>
            </w:pPr>
            <w:r w:rsidRPr="00C6280D">
              <w:rPr>
                <w:rFonts w:ascii="Calibri" w:hAnsi="Calibri"/>
                <w:color w:val="000000"/>
                <w:sz w:val="20"/>
              </w:rPr>
              <w:t>Toxic</w:t>
            </w:r>
          </w:p>
        </w:tc>
        <w:tc>
          <w:tcPr>
            <w:tcW w:w="3160" w:type="dxa"/>
            <w:gridSpan w:val="2"/>
            <w:tcBorders>
              <w:top w:val="single" w:sz="4" w:space="0" w:color="auto"/>
              <w:left w:val="nil"/>
              <w:bottom w:val="single" w:sz="4" w:space="0" w:color="auto"/>
              <w:right w:val="single" w:sz="4" w:space="0" w:color="auto"/>
            </w:tcBorders>
            <w:vAlign w:val="center"/>
            <w:hideMark/>
          </w:tcPr>
          <w:p w14:paraId="7555932D" w14:textId="77777777" w:rsidR="007B0E0D" w:rsidRPr="00C6280D" w:rsidRDefault="007B0E0D">
            <w:pPr>
              <w:jc w:val="center"/>
              <w:rPr>
                <w:rFonts w:ascii="Calibri" w:hAnsi="Calibri"/>
                <w:color w:val="000000"/>
                <w:sz w:val="20"/>
              </w:rPr>
            </w:pPr>
            <w:r w:rsidRPr="00C6280D">
              <w:rPr>
                <w:rFonts w:ascii="Calibri" w:hAnsi="Calibri"/>
                <w:color w:val="000000"/>
                <w:sz w:val="20"/>
              </w:rPr>
              <w:t>varies based on water classification and aquatic life stages present</w:t>
            </w:r>
          </w:p>
        </w:tc>
        <w:tc>
          <w:tcPr>
            <w:tcW w:w="940" w:type="dxa"/>
            <w:tcBorders>
              <w:top w:val="nil"/>
              <w:left w:val="nil"/>
              <w:bottom w:val="single" w:sz="4" w:space="0" w:color="auto"/>
              <w:right w:val="single" w:sz="4" w:space="0" w:color="auto"/>
            </w:tcBorders>
            <w:vAlign w:val="center"/>
            <w:hideMark/>
          </w:tcPr>
          <w:p w14:paraId="6EFC2EB0" w14:textId="77777777" w:rsidR="007B0E0D" w:rsidRPr="00C6280D" w:rsidRDefault="007B0E0D">
            <w:pPr>
              <w:jc w:val="center"/>
              <w:rPr>
                <w:rFonts w:ascii="Calibri" w:hAnsi="Calibri"/>
                <w:color w:val="000000"/>
                <w:sz w:val="20"/>
              </w:rPr>
            </w:pPr>
            <w:r w:rsidRPr="00C6280D">
              <w:rPr>
                <w:rFonts w:ascii="Calibri" w:hAnsi="Calibri"/>
                <w:color w:val="000000"/>
                <w:sz w:val="20"/>
              </w:rPr>
              <w:t> </w:t>
            </w:r>
          </w:p>
        </w:tc>
        <w:tc>
          <w:tcPr>
            <w:tcW w:w="940" w:type="dxa"/>
            <w:tcBorders>
              <w:top w:val="nil"/>
              <w:left w:val="nil"/>
              <w:bottom w:val="single" w:sz="4" w:space="0" w:color="auto"/>
              <w:right w:val="single" w:sz="4" w:space="0" w:color="auto"/>
            </w:tcBorders>
            <w:vAlign w:val="center"/>
            <w:hideMark/>
          </w:tcPr>
          <w:p w14:paraId="5B981431" w14:textId="77777777" w:rsidR="007B0E0D" w:rsidRPr="00C6280D" w:rsidRDefault="007B0E0D">
            <w:pPr>
              <w:jc w:val="center"/>
              <w:rPr>
                <w:rFonts w:ascii="Calibri" w:hAnsi="Calibri"/>
                <w:color w:val="000000"/>
                <w:sz w:val="20"/>
              </w:rPr>
            </w:pPr>
            <w:r w:rsidRPr="00C6280D">
              <w:rPr>
                <w:rFonts w:ascii="Calibri" w:hAnsi="Calibri"/>
                <w:color w:val="000000"/>
                <w:sz w:val="20"/>
              </w:rPr>
              <w:t> </w:t>
            </w:r>
          </w:p>
        </w:tc>
        <w:tc>
          <w:tcPr>
            <w:tcW w:w="1000" w:type="dxa"/>
            <w:tcBorders>
              <w:top w:val="nil"/>
              <w:left w:val="nil"/>
              <w:bottom w:val="single" w:sz="4" w:space="0" w:color="auto"/>
              <w:right w:val="single" w:sz="4" w:space="0" w:color="auto"/>
            </w:tcBorders>
            <w:vAlign w:val="center"/>
            <w:hideMark/>
          </w:tcPr>
          <w:p w14:paraId="744B782F" w14:textId="77777777" w:rsidR="007B0E0D" w:rsidRPr="00C6280D" w:rsidRDefault="007B0E0D">
            <w:pPr>
              <w:jc w:val="center"/>
              <w:rPr>
                <w:rFonts w:ascii="Calibri" w:hAnsi="Calibri"/>
                <w:color w:val="000000"/>
                <w:sz w:val="20"/>
              </w:rPr>
            </w:pPr>
            <w:r w:rsidRPr="00C6280D">
              <w:rPr>
                <w:rFonts w:ascii="Calibri" w:hAnsi="Calibri"/>
                <w:color w:val="000000"/>
                <w:sz w:val="20"/>
              </w:rPr>
              <w:t> </w:t>
            </w:r>
          </w:p>
        </w:tc>
        <w:tc>
          <w:tcPr>
            <w:tcW w:w="1050" w:type="dxa"/>
            <w:tcBorders>
              <w:top w:val="nil"/>
              <w:left w:val="nil"/>
              <w:bottom w:val="single" w:sz="4" w:space="0" w:color="auto"/>
              <w:right w:val="single" w:sz="4" w:space="0" w:color="auto"/>
            </w:tcBorders>
            <w:vAlign w:val="center"/>
            <w:hideMark/>
          </w:tcPr>
          <w:p w14:paraId="0E4EA1DB" w14:textId="77777777" w:rsidR="007B0E0D" w:rsidRPr="00C6280D" w:rsidRDefault="007B0E0D">
            <w:pPr>
              <w:jc w:val="center"/>
              <w:rPr>
                <w:rFonts w:ascii="Calibri" w:hAnsi="Calibri"/>
                <w:color w:val="000000"/>
                <w:sz w:val="20"/>
              </w:rPr>
            </w:pPr>
            <w:r w:rsidRPr="00C6280D">
              <w:rPr>
                <w:rFonts w:ascii="Calibri" w:hAnsi="Calibri"/>
                <w:color w:val="000000"/>
                <w:sz w:val="20"/>
              </w:rPr>
              <w:t>0.3 mg/L</w:t>
            </w:r>
          </w:p>
        </w:tc>
      </w:tr>
      <w:tr w:rsidR="007B0E0D" w14:paraId="709C899E" w14:textId="77777777" w:rsidTr="00C6280D">
        <w:trPr>
          <w:trHeight w:hRule="exact" w:val="720"/>
        </w:trPr>
        <w:tc>
          <w:tcPr>
            <w:tcW w:w="1241" w:type="dxa"/>
            <w:tcBorders>
              <w:top w:val="nil"/>
              <w:left w:val="single" w:sz="4" w:space="0" w:color="auto"/>
              <w:bottom w:val="single" w:sz="4" w:space="0" w:color="auto"/>
              <w:right w:val="single" w:sz="4" w:space="0" w:color="auto"/>
            </w:tcBorders>
            <w:vAlign w:val="center"/>
            <w:hideMark/>
          </w:tcPr>
          <w:p w14:paraId="25DD4EB3" w14:textId="77777777" w:rsidR="007B0E0D" w:rsidRPr="00C6280D" w:rsidRDefault="007B0E0D">
            <w:pPr>
              <w:jc w:val="center"/>
              <w:rPr>
                <w:rFonts w:ascii="Calibri" w:hAnsi="Calibri"/>
                <w:color w:val="000000"/>
                <w:sz w:val="20"/>
              </w:rPr>
            </w:pPr>
            <w:r w:rsidRPr="00C6280D">
              <w:rPr>
                <w:rFonts w:ascii="Calibri" w:hAnsi="Calibri"/>
                <w:color w:val="000000"/>
                <w:sz w:val="20"/>
              </w:rPr>
              <w:t>Phosphorus, inorganic</w:t>
            </w:r>
          </w:p>
        </w:tc>
        <w:tc>
          <w:tcPr>
            <w:tcW w:w="1160" w:type="dxa"/>
            <w:tcBorders>
              <w:top w:val="nil"/>
              <w:left w:val="nil"/>
              <w:bottom w:val="single" w:sz="4" w:space="0" w:color="auto"/>
              <w:right w:val="single" w:sz="4" w:space="0" w:color="auto"/>
            </w:tcBorders>
            <w:vAlign w:val="center"/>
            <w:hideMark/>
          </w:tcPr>
          <w:p w14:paraId="3620F049" w14:textId="77777777" w:rsidR="007B0E0D" w:rsidRPr="00C6280D" w:rsidRDefault="007B0E0D">
            <w:pPr>
              <w:jc w:val="center"/>
              <w:rPr>
                <w:rFonts w:ascii="Calibri" w:hAnsi="Calibri"/>
                <w:color w:val="000000"/>
                <w:sz w:val="20"/>
              </w:rPr>
            </w:pPr>
            <w:r w:rsidRPr="00C6280D">
              <w:rPr>
                <w:rFonts w:ascii="Calibri" w:hAnsi="Calibri"/>
                <w:color w:val="000000"/>
                <w:sz w:val="20"/>
              </w:rPr>
              <w:t>Nutrient</w:t>
            </w:r>
          </w:p>
        </w:tc>
        <w:tc>
          <w:tcPr>
            <w:tcW w:w="3160" w:type="dxa"/>
            <w:gridSpan w:val="2"/>
            <w:tcBorders>
              <w:top w:val="single" w:sz="4" w:space="0" w:color="auto"/>
              <w:left w:val="nil"/>
              <w:bottom w:val="single" w:sz="4" w:space="0" w:color="auto"/>
              <w:right w:val="single" w:sz="4" w:space="0" w:color="auto"/>
            </w:tcBorders>
            <w:vAlign w:val="center"/>
            <w:hideMark/>
          </w:tcPr>
          <w:p w14:paraId="28AEF065" w14:textId="77777777" w:rsidR="007B0E0D" w:rsidRPr="00C6280D" w:rsidRDefault="007B0E0D">
            <w:pPr>
              <w:jc w:val="center"/>
              <w:rPr>
                <w:rFonts w:ascii="Calibri" w:hAnsi="Calibri"/>
                <w:color w:val="000000"/>
                <w:sz w:val="20"/>
              </w:rPr>
            </w:pPr>
            <w:r w:rsidRPr="00C6280D">
              <w:rPr>
                <w:rFonts w:ascii="Calibri" w:hAnsi="Calibri"/>
                <w:color w:val="000000"/>
                <w:sz w:val="20"/>
              </w:rPr>
              <w:t>may cause conditions which produce undesirable aquatic life</w:t>
            </w:r>
          </w:p>
        </w:tc>
        <w:tc>
          <w:tcPr>
            <w:tcW w:w="940" w:type="dxa"/>
            <w:tcBorders>
              <w:top w:val="nil"/>
              <w:left w:val="nil"/>
              <w:bottom w:val="single" w:sz="4" w:space="0" w:color="auto"/>
              <w:right w:val="single" w:sz="4" w:space="0" w:color="auto"/>
            </w:tcBorders>
            <w:vAlign w:val="center"/>
            <w:hideMark/>
          </w:tcPr>
          <w:p w14:paraId="5A491E4B" w14:textId="77777777" w:rsidR="007B0E0D" w:rsidRPr="00C6280D" w:rsidRDefault="007B0E0D">
            <w:pPr>
              <w:jc w:val="center"/>
              <w:rPr>
                <w:rFonts w:ascii="Calibri" w:hAnsi="Calibri"/>
                <w:color w:val="000000"/>
                <w:sz w:val="20"/>
              </w:rPr>
            </w:pPr>
            <w:r w:rsidRPr="00C6280D">
              <w:rPr>
                <w:rFonts w:ascii="Calibri" w:hAnsi="Calibri"/>
                <w:color w:val="000000"/>
                <w:sz w:val="20"/>
              </w:rPr>
              <w:t> </w:t>
            </w:r>
          </w:p>
        </w:tc>
        <w:tc>
          <w:tcPr>
            <w:tcW w:w="940" w:type="dxa"/>
            <w:tcBorders>
              <w:top w:val="nil"/>
              <w:left w:val="nil"/>
              <w:bottom w:val="single" w:sz="4" w:space="0" w:color="auto"/>
              <w:right w:val="single" w:sz="4" w:space="0" w:color="auto"/>
            </w:tcBorders>
            <w:vAlign w:val="center"/>
            <w:hideMark/>
          </w:tcPr>
          <w:p w14:paraId="421C07A6" w14:textId="77777777" w:rsidR="007B0E0D" w:rsidRPr="00C6280D" w:rsidRDefault="007B0E0D">
            <w:pPr>
              <w:jc w:val="center"/>
              <w:rPr>
                <w:rFonts w:ascii="Calibri" w:hAnsi="Calibri"/>
                <w:color w:val="000000"/>
                <w:sz w:val="20"/>
              </w:rPr>
            </w:pPr>
            <w:r w:rsidRPr="00C6280D">
              <w:rPr>
                <w:rFonts w:ascii="Calibri" w:hAnsi="Calibri"/>
                <w:color w:val="000000"/>
                <w:sz w:val="20"/>
              </w:rPr>
              <w:t> </w:t>
            </w:r>
          </w:p>
        </w:tc>
        <w:tc>
          <w:tcPr>
            <w:tcW w:w="1000" w:type="dxa"/>
            <w:tcBorders>
              <w:top w:val="nil"/>
              <w:left w:val="nil"/>
              <w:bottom w:val="single" w:sz="4" w:space="0" w:color="auto"/>
              <w:right w:val="single" w:sz="4" w:space="0" w:color="auto"/>
            </w:tcBorders>
            <w:vAlign w:val="center"/>
            <w:hideMark/>
          </w:tcPr>
          <w:p w14:paraId="485E546E" w14:textId="77777777" w:rsidR="007B0E0D" w:rsidRPr="00C6280D" w:rsidRDefault="007B0E0D">
            <w:pPr>
              <w:jc w:val="center"/>
              <w:rPr>
                <w:rFonts w:ascii="Calibri" w:hAnsi="Calibri"/>
                <w:color w:val="000000"/>
                <w:sz w:val="20"/>
              </w:rPr>
            </w:pPr>
            <w:r w:rsidRPr="00C6280D">
              <w:rPr>
                <w:rFonts w:ascii="Calibri" w:hAnsi="Calibri"/>
                <w:color w:val="000000"/>
                <w:sz w:val="20"/>
              </w:rPr>
              <w:t>1</w:t>
            </w:r>
          </w:p>
        </w:tc>
        <w:tc>
          <w:tcPr>
            <w:tcW w:w="1050" w:type="dxa"/>
            <w:tcBorders>
              <w:top w:val="nil"/>
              <w:left w:val="nil"/>
              <w:bottom w:val="single" w:sz="4" w:space="0" w:color="auto"/>
              <w:right w:val="single" w:sz="4" w:space="0" w:color="auto"/>
            </w:tcBorders>
            <w:vAlign w:val="center"/>
            <w:hideMark/>
          </w:tcPr>
          <w:p w14:paraId="65D9D3BB" w14:textId="77777777" w:rsidR="007B0E0D" w:rsidRPr="00C6280D" w:rsidRDefault="007B0E0D">
            <w:pPr>
              <w:jc w:val="center"/>
              <w:rPr>
                <w:rFonts w:ascii="Calibri" w:hAnsi="Calibri"/>
                <w:color w:val="000000"/>
                <w:sz w:val="20"/>
              </w:rPr>
            </w:pPr>
            <w:r w:rsidRPr="00C6280D">
              <w:rPr>
                <w:rFonts w:ascii="Calibri" w:hAnsi="Calibri"/>
                <w:color w:val="000000"/>
                <w:sz w:val="20"/>
              </w:rPr>
              <w:t>1</w:t>
            </w:r>
          </w:p>
        </w:tc>
      </w:tr>
      <w:tr w:rsidR="007B0E0D" w14:paraId="2D0C752D" w14:textId="77777777" w:rsidTr="007B0E0D">
        <w:trPr>
          <w:trHeight w:val="525"/>
        </w:trPr>
        <w:tc>
          <w:tcPr>
            <w:tcW w:w="9491" w:type="dxa"/>
            <w:gridSpan w:val="8"/>
            <w:noWrap/>
          </w:tcPr>
          <w:p w14:paraId="405866B0" w14:textId="77777777" w:rsidR="007B0E0D" w:rsidRDefault="007B0E0D">
            <w:pPr>
              <w:rPr>
                <w:rFonts w:ascii="Calibri" w:hAnsi="Calibri"/>
                <w:color w:val="000000"/>
                <w:sz w:val="16"/>
                <w:szCs w:val="16"/>
              </w:rPr>
            </w:pPr>
            <w:r>
              <w:rPr>
                <w:rFonts w:ascii="Calibri" w:hAnsi="Calibri"/>
                <w:color w:val="000000"/>
                <w:sz w:val="16"/>
                <w:szCs w:val="16"/>
              </w:rPr>
              <w:t xml:space="preserve"> </w:t>
            </w:r>
          </w:p>
          <w:p w14:paraId="1A68442F" w14:textId="77777777" w:rsidR="007B0E0D" w:rsidRDefault="007B0E0D">
            <w:pPr>
              <w:rPr>
                <w:rFonts w:ascii="Calibri" w:hAnsi="Calibri"/>
                <w:color w:val="000000"/>
                <w:sz w:val="16"/>
                <w:szCs w:val="16"/>
              </w:rPr>
            </w:pPr>
          </w:p>
        </w:tc>
      </w:tr>
    </w:tbl>
    <w:p w14:paraId="1F09741C" w14:textId="51F7F85E" w:rsidR="007159AA" w:rsidRPr="00997346" w:rsidRDefault="007B0E0D" w:rsidP="007670FB">
      <w:pPr>
        <w:pStyle w:val="Heading2"/>
      </w:pPr>
      <w:r>
        <w:t xml:space="preserve"> </w:t>
      </w:r>
      <w:bookmarkStart w:id="109" w:name="_Toc109055234"/>
      <w:r w:rsidR="00F002BB">
        <w:t>7</w:t>
      </w:r>
      <w:r w:rsidR="0082154A">
        <w:t xml:space="preserve">.2 </w:t>
      </w:r>
      <w:r w:rsidR="00E14DF7">
        <w:t>Reporting</w:t>
      </w:r>
      <w:bookmarkEnd w:id="109"/>
    </w:p>
    <w:p w14:paraId="473940DD" w14:textId="1A5917EA" w:rsidR="00C6280D" w:rsidRDefault="007B0E0D" w:rsidP="00C6280D">
      <w:pPr>
        <w:pStyle w:val="BodyText"/>
        <w:spacing w:before="56"/>
        <w:ind w:left="100" w:right="546"/>
        <w:rPr>
          <w:szCs w:val="22"/>
        </w:rPr>
      </w:pPr>
      <w:r>
        <w:rPr>
          <w:szCs w:val="22"/>
        </w:rPr>
        <w:t xml:space="preserve">Data are summarized and presented in an annual report provided to the Little Bitterroot Lake Association. The report is made available to lake association members and the </w:t>
      </w:r>
      <w:proofErr w:type="gramStart"/>
      <w:r>
        <w:rPr>
          <w:szCs w:val="22"/>
        </w:rPr>
        <w:t>general public</w:t>
      </w:r>
      <w:proofErr w:type="gramEnd"/>
      <w:r>
        <w:rPr>
          <w:szCs w:val="22"/>
        </w:rPr>
        <w:t xml:space="preserve"> on the lake association website (</w:t>
      </w:r>
      <w:hyperlink r:id="rId12" w:history="1">
        <w:r w:rsidR="00A12BD5" w:rsidRPr="00B966B8">
          <w:rPr>
            <w:rStyle w:val="Hyperlink"/>
            <w:szCs w:val="22"/>
          </w:rPr>
          <w:t>http://www.littlebitterrootlakeassoc.org</w:t>
        </w:r>
      </w:hyperlink>
      <w:r w:rsidR="00A12BD5">
        <w:rPr>
          <w:szCs w:val="22"/>
        </w:rPr>
        <w:t xml:space="preserve">). </w:t>
      </w:r>
      <w:r>
        <w:rPr>
          <w:szCs w:val="22"/>
        </w:rPr>
        <w:t xml:space="preserve">Results from the previous year of sampling are presented by the WET project scientist at the annual lake association meeting, which is typically held each year during the first Wednesday in August. The presentation will discuss previous monitoring results, historical trends, emerging issues in water quality within the watershed, and guidelines for improving or maintaining water quality, such as fertilizer use, vegetation management, and maintaining septic systems. Lake association members </w:t>
      </w:r>
      <w:proofErr w:type="gramStart"/>
      <w:r>
        <w:rPr>
          <w:szCs w:val="22"/>
        </w:rPr>
        <w:t>are able to</w:t>
      </w:r>
      <w:proofErr w:type="gramEnd"/>
      <w:r>
        <w:rPr>
          <w:szCs w:val="22"/>
        </w:rPr>
        <w:t xml:space="preserve"> contact the project manager regarding water quality concerns or questions at any time. The annual meeting is typically attended by 50-70 lake association members, and other members can access meeting minutes or the annual report through the association’s website.  Results from this monitoring program have also been presented at regional scientific conferences, including the Montana Chapter of the American Water Resources Association (West Yellowstone – October 2018) and the Montana Lakes Conference (Whitefish – March 2019). </w:t>
      </w:r>
    </w:p>
    <w:p w14:paraId="27571F45" w14:textId="24277B80" w:rsidR="00EA09EC" w:rsidRDefault="007B0E0D">
      <w:pPr>
        <w:rPr>
          <w:rFonts w:cstheme="minorHAnsi"/>
          <w:b/>
          <w:bCs/>
          <w:caps/>
          <w:kern w:val="32"/>
          <w:sz w:val="36"/>
          <w:szCs w:val="32"/>
        </w:rPr>
      </w:pPr>
      <w:r>
        <w:t xml:space="preserve"> </w:t>
      </w:r>
    </w:p>
    <w:p w14:paraId="4E85BC83" w14:textId="5DFBFE49" w:rsidR="00BB7F9C" w:rsidRDefault="00F002BB" w:rsidP="00920FC9">
      <w:pPr>
        <w:pStyle w:val="Heading1"/>
      </w:pPr>
      <w:bookmarkStart w:id="110" w:name="_Toc109055235"/>
      <w:r>
        <w:t>8</w:t>
      </w:r>
      <w:r w:rsidR="007670FB">
        <w:t xml:space="preserve">.0 </w:t>
      </w:r>
      <w:r w:rsidR="00BB7F9C" w:rsidRPr="001C07F7">
        <w:t>References</w:t>
      </w:r>
      <w:bookmarkEnd w:id="110"/>
    </w:p>
    <w:bookmarkEnd w:id="107"/>
    <w:p w14:paraId="5AEE17B8" w14:textId="7D32319E" w:rsidR="007B0E0D" w:rsidRDefault="007B0E0D" w:rsidP="00DE718F">
      <w:pPr>
        <w:pStyle w:val="BodyText"/>
        <w:spacing w:after="0"/>
        <w:ind w:left="0"/>
        <w:rPr>
          <w:rFonts w:ascii="Calibri" w:hAnsi="Calibri"/>
          <w:szCs w:val="22"/>
        </w:rPr>
      </w:pPr>
      <w:r>
        <w:rPr>
          <w:rFonts w:ascii="Calibri" w:hAnsi="Calibri"/>
          <w:szCs w:val="22"/>
        </w:rPr>
        <w:t xml:space="preserve">Battle, </w:t>
      </w:r>
      <w:proofErr w:type="gramStart"/>
      <w:r>
        <w:rPr>
          <w:rFonts w:ascii="Calibri" w:hAnsi="Calibri"/>
          <w:szCs w:val="22"/>
        </w:rPr>
        <w:t>J.</w:t>
      </w:r>
      <w:proofErr w:type="gramEnd"/>
      <w:r>
        <w:rPr>
          <w:rFonts w:ascii="Calibri" w:hAnsi="Calibri"/>
          <w:szCs w:val="22"/>
        </w:rPr>
        <w:t xml:space="preserve"> and S.W. </w:t>
      </w:r>
      <w:proofErr w:type="spellStart"/>
      <w:r>
        <w:rPr>
          <w:rFonts w:ascii="Calibri" w:hAnsi="Calibri"/>
          <w:szCs w:val="22"/>
        </w:rPr>
        <w:t>Golladay</w:t>
      </w:r>
      <w:proofErr w:type="spellEnd"/>
      <w:r>
        <w:rPr>
          <w:rFonts w:ascii="Calibri" w:hAnsi="Calibri"/>
          <w:szCs w:val="22"/>
        </w:rPr>
        <w:t>. 2003. Prescribed Fire’s Impact on Water Quality of Depressional Wetlands in Southwestern Georgia. American Midland Naturalist. 150(1):15-25.</w:t>
      </w:r>
    </w:p>
    <w:p w14:paraId="09A6724A" w14:textId="77777777" w:rsidR="007C4D14" w:rsidRDefault="007C4D14" w:rsidP="00DE718F">
      <w:pPr>
        <w:pStyle w:val="BodyText"/>
        <w:spacing w:after="0"/>
        <w:ind w:left="0"/>
        <w:rPr>
          <w:rFonts w:ascii="Calibri" w:hAnsi="Calibri"/>
          <w:szCs w:val="22"/>
        </w:rPr>
      </w:pPr>
    </w:p>
    <w:p w14:paraId="7B10E1C1" w14:textId="77777777" w:rsidR="007B0E0D" w:rsidRDefault="007B0E0D" w:rsidP="007B0E0D">
      <w:pPr>
        <w:pStyle w:val="BodyText"/>
        <w:spacing w:after="0"/>
        <w:ind w:left="0"/>
        <w:rPr>
          <w:rFonts w:ascii="Calibri" w:hAnsi="Calibri"/>
          <w:szCs w:val="22"/>
        </w:rPr>
      </w:pPr>
      <w:r>
        <w:rPr>
          <w:rFonts w:ascii="Calibri" w:hAnsi="Calibri"/>
          <w:szCs w:val="22"/>
        </w:rPr>
        <w:t>Cole, G.A., 1983.  Textbook of Limnology, 3</w:t>
      </w:r>
      <w:proofErr w:type="spellStart"/>
      <w:proofErr w:type="gramStart"/>
      <w:r>
        <w:rPr>
          <w:rFonts w:ascii="Calibri" w:hAnsi="Calibri"/>
          <w:position w:val="8"/>
          <w:szCs w:val="22"/>
        </w:rPr>
        <w:t>rd</w:t>
      </w:r>
      <w:proofErr w:type="spellEnd"/>
      <w:r>
        <w:rPr>
          <w:rFonts w:ascii="Calibri" w:hAnsi="Calibri"/>
          <w:position w:val="8"/>
          <w:szCs w:val="22"/>
        </w:rPr>
        <w:t xml:space="preserve">  </w:t>
      </w:r>
      <w:r>
        <w:rPr>
          <w:rFonts w:ascii="Calibri" w:hAnsi="Calibri"/>
          <w:szCs w:val="22"/>
        </w:rPr>
        <w:t>Edition</w:t>
      </w:r>
      <w:proofErr w:type="gramEnd"/>
      <w:r>
        <w:rPr>
          <w:rFonts w:ascii="Calibri" w:hAnsi="Calibri"/>
          <w:szCs w:val="22"/>
        </w:rPr>
        <w:t>.  Waveland Press.</w:t>
      </w:r>
    </w:p>
    <w:p w14:paraId="51B1A93D" w14:textId="77777777" w:rsidR="007B0E0D" w:rsidRDefault="007B0E0D" w:rsidP="007B0E0D">
      <w:pPr>
        <w:pStyle w:val="BodyText"/>
        <w:spacing w:after="0"/>
        <w:ind w:left="0"/>
        <w:rPr>
          <w:rFonts w:ascii="Calibri" w:hAnsi="Calibri"/>
          <w:szCs w:val="22"/>
        </w:rPr>
      </w:pPr>
    </w:p>
    <w:p w14:paraId="27B67A61" w14:textId="77777777" w:rsidR="007B0E0D" w:rsidRDefault="007B0E0D" w:rsidP="007B0E0D">
      <w:pPr>
        <w:rPr>
          <w:rFonts w:ascii="Calibri" w:hAnsi="Calibri"/>
          <w:i/>
          <w:szCs w:val="22"/>
        </w:rPr>
      </w:pPr>
      <w:r w:rsidRPr="00DE718F">
        <w:rPr>
          <w:rFonts w:ascii="Calibri" w:hAnsi="Calibri"/>
          <w:szCs w:val="22"/>
        </w:rPr>
        <w:lastRenderedPageBreak/>
        <w:t>DEQ. 2009. Minimum Reporting Requirements for Analytical Data (Chemistry) for the Water Quality Planning Bureau. Montana Dept. of Environmental Quality, SOP WQPBDMS-010. August 12, 2009. Available at</w:t>
      </w:r>
      <w:r w:rsidRPr="00DE718F">
        <w:rPr>
          <w:rFonts w:ascii="Calibri" w:hAnsi="Calibri"/>
          <w:i/>
          <w:szCs w:val="22"/>
        </w:rPr>
        <w:t xml:space="preserve"> </w:t>
      </w:r>
      <w:hyperlink r:id="rId13" w:history="1">
        <w:r w:rsidRPr="00DE718F">
          <w:rPr>
            <w:rStyle w:val="Hyperlink"/>
            <w:rFonts w:ascii="Calibri" w:hAnsi="Calibri"/>
            <w:i/>
            <w:color w:val="auto"/>
            <w:szCs w:val="22"/>
            <w:u w:val="none"/>
          </w:rPr>
          <w:t>http://deq.mt.gov/wqinfo/QAProgram/default.mcpx</w:t>
        </w:r>
      </w:hyperlink>
    </w:p>
    <w:p w14:paraId="1E81A053" w14:textId="77777777" w:rsidR="007B0E0D" w:rsidRDefault="007B0E0D" w:rsidP="007B0E0D">
      <w:pPr>
        <w:pStyle w:val="BodyText"/>
        <w:spacing w:after="0"/>
        <w:ind w:left="0"/>
        <w:rPr>
          <w:rFonts w:ascii="Calibri" w:hAnsi="Calibri"/>
          <w:i/>
          <w:szCs w:val="22"/>
        </w:rPr>
      </w:pPr>
    </w:p>
    <w:p w14:paraId="6DF055C2" w14:textId="77777777" w:rsidR="007B0E0D" w:rsidRDefault="007B0E0D" w:rsidP="007B0E0D">
      <w:pPr>
        <w:rPr>
          <w:rFonts w:ascii="Calibri" w:hAnsi="Calibri"/>
          <w:i/>
          <w:szCs w:val="22"/>
        </w:rPr>
      </w:pPr>
      <w:r>
        <w:rPr>
          <w:rFonts w:ascii="Calibri" w:hAnsi="Calibri"/>
          <w:szCs w:val="22"/>
        </w:rPr>
        <w:t>DEQ. 2010. Circular DEQ-7, Montana Numeric Water Quality Standards. Montana Dept. of Environmental Quality. August 2010. Available at</w:t>
      </w:r>
      <w:r>
        <w:rPr>
          <w:rFonts w:ascii="Calibri" w:hAnsi="Calibri"/>
          <w:i/>
          <w:szCs w:val="22"/>
        </w:rPr>
        <w:t xml:space="preserve"> </w:t>
      </w:r>
      <w:hyperlink r:id="rId14" w:history="1">
        <w:r>
          <w:rPr>
            <w:rStyle w:val="Hyperlink"/>
            <w:rFonts w:ascii="Calibri" w:hAnsi="Calibri"/>
            <w:i/>
            <w:color w:val="auto"/>
            <w:szCs w:val="22"/>
            <w:u w:val="none"/>
          </w:rPr>
          <w:t>http://deq.mt.gov/wqinfo/Standards/default.mcpx</w:t>
        </w:r>
      </w:hyperlink>
    </w:p>
    <w:p w14:paraId="5F8E0C6A" w14:textId="77777777" w:rsidR="007B0E0D" w:rsidRDefault="007B0E0D" w:rsidP="007B0E0D">
      <w:pPr>
        <w:pStyle w:val="BodyText"/>
        <w:spacing w:after="0"/>
        <w:ind w:left="0"/>
        <w:rPr>
          <w:rFonts w:ascii="Calibri" w:hAnsi="Calibri"/>
          <w:szCs w:val="22"/>
        </w:rPr>
      </w:pPr>
    </w:p>
    <w:p w14:paraId="677F1858" w14:textId="77777777" w:rsidR="007B0E0D" w:rsidRDefault="007B0E0D" w:rsidP="007B0E0D">
      <w:pPr>
        <w:pStyle w:val="BodyText"/>
        <w:spacing w:after="0"/>
        <w:ind w:left="0"/>
        <w:rPr>
          <w:rFonts w:ascii="Calibri" w:hAnsi="Calibri"/>
          <w:szCs w:val="22"/>
        </w:rPr>
      </w:pPr>
      <w:r>
        <w:rPr>
          <w:rFonts w:ascii="Calibri" w:hAnsi="Calibri"/>
          <w:szCs w:val="22"/>
        </w:rPr>
        <w:t>Ellis, BK, JA Craft and JA Stanford. 1998. Baseline Water Quality Study of Little Bitterroot, Mary, Ronan, Ashley and Lindbergh Lakes, Montana. Flathead Lake Biological Station, Open File Report 148-98: 1-93.</w:t>
      </w:r>
    </w:p>
    <w:p w14:paraId="11D5E002" w14:textId="77777777" w:rsidR="007B0E0D" w:rsidRDefault="007B0E0D" w:rsidP="007B0E0D">
      <w:pPr>
        <w:pStyle w:val="BodyText"/>
        <w:spacing w:after="0"/>
        <w:ind w:left="0"/>
        <w:rPr>
          <w:rFonts w:ascii="Calibri" w:hAnsi="Calibri"/>
          <w:szCs w:val="22"/>
        </w:rPr>
      </w:pPr>
    </w:p>
    <w:p w14:paraId="54FF5FC0" w14:textId="77777777" w:rsidR="007B0E0D" w:rsidRDefault="007B0E0D" w:rsidP="007B0E0D">
      <w:pPr>
        <w:pStyle w:val="BodyText"/>
        <w:spacing w:after="0"/>
        <w:ind w:left="0"/>
        <w:rPr>
          <w:rFonts w:ascii="Calibri" w:hAnsi="Calibri"/>
          <w:szCs w:val="22"/>
        </w:rPr>
      </w:pPr>
      <w:r>
        <w:rPr>
          <w:rFonts w:ascii="Calibri" w:hAnsi="Calibri"/>
          <w:szCs w:val="22"/>
        </w:rPr>
        <w:t xml:space="preserve">Ellis, </w:t>
      </w:r>
      <w:proofErr w:type="gramStart"/>
      <w:r>
        <w:rPr>
          <w:rFonts w:ascii="Calibri" w:hAnsi="Calibri"/>
          <w:szCs w:val="22"/>
        </w:rPr>
        <w:t>BK</w:t>
      </w:r>
      <w:proofErr w:type="gramEnd"/>
      <w:r>
        <w:rPr>
          <w:rFonts w:ascii="Calibri" w:hAnsi="Calibri"/>
          <w:szCs w:val="22"/>
        </w:rPr>
        <w:t xml:space="preserve"> and JA Craft. 2008. Trophic status and trends in water quality for Volunteer Monitoring Program lakes in northwestern Montana, 1993–2007. FLBS Report #200-08. Prepared for Flathead Basin Commission, Kalispell, MT by Flathead Lake Biological Station, The University of Montana, Polson, MT.</w:t>
      </w:r>
    </w:p>
    <w:p w14:paraId="64093D56" w14:textId="77777777" w:rsidR="007B0E0D" w:rsidRDefault="007B0E0D" w:rsidP="007B0E0D">
      <w:pPr>
        <w:pStyle w:val="BodyText"/>
        <w:spacing w:after="0"/>
        <w:ind w:left="0"/>
        <w:rPr>
          <w:rFonts w:ascii="Calibri" w:hAnsi="Calibri"/>
          <w:szCs w:val="22"/>
        </w:rPr>
      </w:pPr>
    </w:p>
    <w:p w14:paraId="5182FE5B" w14:textId="77777777" w:rsidR="007B0E0D" w:rsidRDefault="007B0E0D" w:rsidP="007B0E0D">
      <w:pPr>
        <w:pStyle w:val="BodyText"/>
        <w:spacing w:after="0"/>
        <w:ind w:left="0"/>
        <w:rPr>
          <w:rFonts w:ascii="Calibri" w:hAnsi="Calibri"/>
          <w:szCs w:val="22"/>
        </w:rPr>
      </w:pPr>
      <w:r>
        <w:rPr>
          <w:rFonts w:ascii="Calibri" w:hAnsi="Calibri"/>
          <w:szCs w:val="22"/>
        </w:rPr>
        <w:t>Little Bitterroot Lake Zoning District. 1996. Little Bitterroot Lake Neighborhood Plan and Development Code: An Amendment to the Flathead County Master Plan. Adopted February 27, 1996.</w:t>
      </w:r>
    </w:p>
    <w:p w14:paraId="2964DB67" w14:textId="77777777" w:rsidR="007B0E0D" w:rsidRDefault="007B0E0D" w:rsidP="007B0E0D">
      <w:pPr>
        <w:pStyle w:val="BodyText"/>
        <w:spacing w:after="0"/>
        <w:ind w:left="0"/>
        <w:rPr>
          <w:rFonts w:ascii="Calibri" w:hAnsi="Calibri"/>
          <w:szCs w:val="22"/>
        </w:rPr>
      </w:pPr>
    </w:p>
    <w:p w14:paraId="1D41B8F0" w14:textId="77777777" w:rsidR="007B0E0D" w:rsidRDefault="007B0E0D" w:rsidP="007B0E0D">
      <w:pPr>
        <w:pStyle w:val="BodyText"/>
        <w:spacing w:after="0"/>
        <w:ind w:left="0"/>
        <w:rPr>
          <w:rFonts w:ascii="Calibri" w:hAnsi="Calibri"/>
          <w:szCs w:val="22"/>
        </w:rPr>
      </w:pPr>
      <w:r>
        <w:rPr>
          <w:rFonts w:ascii="Calibri" w:hAnsi="Calibri"/>
          <w:szCs w:val="22"/>
        </w:rPr>
        <w:t xml:space="preserve">Montana Dept. of Natural Resources and Conservation (DNRC). 2013. Bitter </w:t>
      </w:r>
      <w:proofErr w:type="spellStart"/>
      <w:r>
        <w:rPr>
          <w:rFonts w:ascii="Calibri" w:hAnsi="Calibri"/>
          <w:szCs w:val="22"/>
        </w:rPr>
        <w:t>Herrig</w:t>
      </w:r>
      <w:proofErr w:type="spellEnd"/>
      <w:r>
        <w:rPr>
          <w:rFonts w:ascii="Calibri" w:hAnsi="Calibri"/>
          <w:szCs w:val="22"/>
        </w:rPr>
        <w:t xml:space="preserve"> Timber Sale – Notice of Sale. Available online at: dnrc.mt.gov%2Fdivisions%2Ftrust%2Fdocs%2Fforest- management%2Ftimber%2Fbids%2Fbitterherrigweb.pdf</w:t>
      </w:r>
    </w:p>
    <w:p w14:paraId="7D60A3B4" w14:textId="77777777" w:rsidR="007B0E0D" w:rsidRDefault="007B0E0D" w:rsidP="007B0E0D">
      <w:pPr>
        <w:pStyle w:val="BodyText"/>
        <w:spacing w:after="0"/>
        <w:ind w:left="0"/>
        <w:rPr>
          <w:rFonts w:ascii="Calibri" w:hAnsi="Calibri"/>
          <w:szCs w:val="22"/>
        </w:rPr>
      </w:pPr>
    </w:p>
    <w:p w14:paraId="7F752C65" w14:textId="77777777" w:rsidR="007B0E0D" w:rsidRDefault="007B0E0D" w:rsidP="007B0E0D">
      <w:pPr>
        <w:pStyle w:val="BodyText"/>
        <w:spacing w:after="0"/>
        <w:ind w:left="0"/>
        <w:rPr>
          <w:rFonts w:ascii="Calibri" w:hAnsi="Calibri"/>
          <w:szCs w:val="22"/>
        </w:rPr>
      </w:pPr>
      <w:r>
        <w:rPr>
          <w:rFonts w:ascii="Calibri" w:hAnsi="Calibri"/>
          <w:szCs w:val="22"/>
        </w:rPr>
        <w:t>Scott, Tristan. 2016. Welling Concerns – Testing reveals high levels of radioactive elements in drinking water west of Kalispell. Flathead Beacon. Kalispell, MT. January 13, 2016.</w:t>
      </w:r>
    </w:p>
    <w:p w14:paraId="4D351035" w14:textId="77777777" w:rsidR="007B0E0D" w:rsidRDefault="007B0E0D" w:rsidP="007B0E0D">
      <w:pPr>
        <w:pStyle w:val="BodyText"/>
        <w:spacing w:after="0"/>
        <w:ind w:left="0"/>
        <w:rPr>
          <w:rFonts w:ascii="Calibri" w:hAnsi="Calibri"/>
          <w:szCs w:val="22"/>
        </w:rPr>
      </w:pPr>
    </w:p>
    <w:p w14:paraId="07BBA24A" w14:textId="12BF2F45" w:rsidR="007B0E0D" w:rsidRDefault="007B0E0D" w:rsidP="007B0E0D">
      <w:pPr>
        <w:pStyle w:val="BodyText"/>
        <w:spacing w:after="0"/>
        <w:ind w:left="0"/>
        <w:rPr>
          <w:rFonts w:ascii="Calibri" w:hAnsi="Calibri"/>
          <w:szCs w:val="22"/>
        </w:rPr>
      </w:pPr>
      <w:r>
        <w:rPr>
          <w:rFonts w:ascii="Calibri" w:hAnsi="Calibri"/>
          <w:szCs w:val="22"/>
        </w:rPr>
        <w:t xml:space="preserve">Suplee, M.W., V. Watson, M. </w:t>
      </w:r>
      <w:proofErr w:type="spellStart"/>
      <w:r>
        <w:rPr>
          <w:rFonts w:ascii="Calibri" w:hAnsi="Calibri"/>
          <w:szCs w:val="22"/>
        </w:rPr>
        <w:t>Tepley</w:t>
      </w:r>
      <w:proofErr w:type="spellEnd"/>
      <w:r>
        <w:rPr>
          <w:rFonts w:ascii="Calibri" w:hAnsi="Calibri"/>
          <w:szCs w:val="22"/>
        </w:rPr>
        <w:t xml:space="preserve"> and H. McKee. 2009. How Green is Too Green? Public Opinion of What Constitutes Undesirable Algae Levels in Streams. Journal of the American Water Resources Association. 45(1):123-140. DOI: 10.1111/j.1752-1688.2008.</w:t>
      </w:r>
      <w:proofErr w:type="gramStart"/>
      <w:r>
        <w:rPr>
          <w:rFonts w:ascii="Calibri" w:hAnsi="Calibri"/>
          <w:szCs w:val="22"/>
        </w:rPr>
        <w:t>00265.x.</w:t>
      </w:r>
      <w:proofErr w:type="gramEnd"/>
    </w:p>
    <w:p w14:paraId="4B8514DA" w14:textId="2FFCD998" w:rsidR="00350C81" w:rsidRDefault="00350C81" w:rsidP="007B0E0D">
      <w:pPr>
        <w:pStyle w:val="BodyText"/>
        <w:spacing w:after="0"/>
        <w:ind w:left="0"/>
        <w:rPr>
          <w:rFonts w:ascii="Calibri" w:hAnsi="Calibri"/>
          <w:szCs w:val="22"/>
        </w:rPr>
      </w:pPr>
    </w:p>
    <w:p w14:paraId="5EA7BC87" w14:textId="05408809" w:rsidR="00350C81" w:rsidRDefault="00350C81" w:rsidP="007C4D14">
      <w:r>
        <w:t xml:space="preserve">Suplee, </w:t>
      </w:r>
      <w:proofErr w:type="gramStart"/>
      <w:r>
        <w:t>M.</w:t>
      </w:r>
      <w:proofErr w:type="gramEnd"/>
      <w:r>
        <w:t xml:space="preserve"> and R. Sada. 2021. Sample Collection and Laboratory Analysis of Chlorophyll-a Standard Operating Procedure. WQPBWQM-011, Version 8.0. </w:t>
      </w:r>
      <w:r w:rsidRPr="003A6683">
        <w:t>Helena, MT: Montana Dept. of Environmental Quality</w:t>
      </w:r>
      <w:r>
        <w:t xml:space="preserve">, Water Quality Planning Bureau. </w:t>
      </w:r>
    </w:p>
    <w:p w14:paraId="3F681689" w14:textId="77777777" w:rsidR="007B0E0D" w:rsidRDefault="007B0E0D" w:rsidP="007B0E0D">
      <w:pPr>
        <w:pStyle w:val="BodyText"/>
        <w:spacing w:after="0"/>
        <w:ind w:left="0"/>
        <w:rPr>
          <w:rFonts w:ascii="Calibri" w:hAnsi="Calibri"/>
          <w:szCs w:val="22"/>
        </w:rPr>
      </w:pPr>
    </w:p>
    <w:p w14:paraId="173558B8" w14:textId="77777777" w:rsidR="007B0E0D" w:rsidRDefault="007B0E0D" w:rsidP="007B0E0D">
      <w:pPr>
        <w:pStyle w:val="BodyText"/>
        <w:spacing w:after="0"/>
        <w:ind w:left="0"/>
        <w:rPr>
          <w:rFonts w:ascii="Calibri" w:hAnsi="Calibri"/>
          <w:szCs w:val="22"/>
        </w:rPr>
      </w:pPr>
      <w:r>
        <w:rPr>
          <w:rFonts w:ascii="Calibri" w:hAnsi="Calibri"/>
          <w:szCs w:val="22"/>
        </w:rPr>
        <w:t>USDA Forest Service (USFS). 2016. Prescribed Fires Planned for the Flathead. Available online at: https://</w:t>
      </w:r>
      <w:hyperlink r:id="rId15" w:history="1">
        <w:r>
          <w:rPr>
            <w:rStyle w:val="Hyperlink"/>
            <w:rFonts w:ascii="Calibri" w:hAnsi="Calibri"/>
            <w:color w:val="auto"/>
            <w:szCs w:val="22"/>
            <w:u w:val="none"/>
          </w:rPr>
          <w:t>www.fs.usda.gov/detail/flathead/news-events/?cid=FSEPRD518498</w:t>
        </w:r>
      </w:hyperlink>
    </w:p>
    <w:p w14:paraId="7499413D" w14:textId="77777777" w:rsidR="007B0E0D" w:rsidRDefault="007B0E0D" w:rsidP="007B0E0D">
      <w:pPr>
        <w:pStyle w:val="BodyText"/>
        <w:spacing w:after="0"/>
        <w:ind w:left="0"/>
        <w:rPr>
          <w:rFonts w:ascii="Calibri" w:hAnsi="Calibri"/>
          <w:szCs w:val="22"/>
        </w:rPr>
      </w:pPr>
    </w:p>
    <w:p w14:paraId="3668BC6B" w14:textId="77777777" w:rsidR="007B0E0D" w:rsidRDefault="007B0E0D" w:rsidP="007B0E0D">
      <w:pPr>
        <w:pStyle w:val="BodyText"/>
        <w:spacing w:after="0"/>
        <w:ind w:left="0"/>
        <w:rPr>
          <w:rFonts w:ascii="Calibri" w:hAnsi="Calibri"/>
          <w:szCs w:val="22"/>
        </w:rPr>
      </w:pPr>
      <w:r>
        <w:rPr>
          <w:rFonts w:ascii="Calibri" w:hAnsi="Calibri"/>
          <w:szCs w:val="22"/>
        </w:rPr>
        <w:t xml:space="preserve">U.S. Environmental Protection Agency (EPA). 2011. STORET Data Repository. Accessed online at </w:t>
      </w:r>
      <w:hyperlink r:id="rId16" w:history="1">
        <w:r>
          <w:rPr>
            <w:rStyle w:val="Hyperlink"/>
            <w:rFonts w:ascii="Calibri" w:hAnsi="Calibri"/>
            <w:color w:val="auto"/>
            <w:szCs w:val="22"/>
            <w:u w:val="none"/>
          </w:rPr>
          <w:t>http://www.epa.gov/storet/</w:t>
        </w:r>
      </w:hyperlink>
      <w:r>
        <w:rPr>
          <w:rFonts w:ascii="Calibri" w:hAnsi="Calibri"/>
          <w:szCs w:val="22"/>
        </w:rPr>
        <w:t xml:space="preserve"> on February 16, 2011.</w:t>
      </w:r>
    </w:p>
    <w:p w14:paraId="6B112711" w14:textId="77777777" w:rsidR="007B0E0D" w:rsidRDefault="007B0E0D" w:rsidP="007B0E0D">
      <w:pPr>
        <w:pStyle w:val="BodyText"/>
        <w:spacing w:after="0"/>
        <w:ind w:left="0"/>
        <w:rPr>
          <w:rFonts w:ascii="Calibri" w:hAnsi="Calibri"/>
          <w:szCs w:val="22"/>
        </w:rPr>
      </w:pPr>
    </w:p>
    <w:p w14:paraId="0C149AFC" w14:textId="66B8D7B8" w:rsidR="007B0E0D" w:rsidRDefault="007B0E0D" w:rsidP="007B0E0D">
      <w:pPr>
        <w:pStyle w:val="BodyText"/>
        <w:spacing w:after="0"/>
        <w:ind w:left="0"/>
        <w:rPr>
          <w:rFonts w:ascii="Calibri" w:hAnsi="Calibri"/>
          <w:szCs w:val="22"/>
        </w:rPr>
      </w:pPr>
      <w:r>
        <w:rPr>
          <w:rFonts w:ascii="Calibri" w:hAnsi="Calibri"/>
          <w:szCs w:val="22"/>
        </w:rPr>
        <w:t>Water &amp; Environmental Technologies (WET). 20</w:t>
      </w:r>
      <w:r w:rsidR="00F304CB">
        <w:rPr>
          <w:rFonts w:ascii="Calibri" w:hAnsi="Calibri"/>
          <w:szCs w:val="22"/>
        </w:rPr>
        <w:t>21</w:t>
      </w:r>
      <w:r>
        <w:rPr>
          <w:rFonts w:ascii="Calibri" w:hAnsi="Calibri"/>
          <w:szCs w:val="22"/>
        </w:rPr>
        <w:t>. Water Quality Monitoring at Little Bitterroot Lake, Montana: 1999-20</w:t>
      </w:r>
      <w:r w:rsidR="00F304CB">
        <w:rPr>
          <w:rFonts w:ascii="Calibri" w:hAnsi="Calibri"/>
          <w:szCs w:val="22"/>
        </w:rPr>
        <w:t>20</w:t>
      </w:r>
      <w:r>
        <w:rPr>
          <w:rFonts w:ascii="Calibri" w:hAnsi="Calibri"/>
          <w:szCs w:val="22"/>
        </w:rPr>
        <w:t xml:space="preserve"> Water Quality Summary Report. Butte, MT. </w:t>
      </w:r>
    </w:p>
    <w:p w14:paraId="0D8A66EE" w14:textId="77777777" w:rsidR="007B0E0D" w:rsidRDefault="007B0E0D" w:rsidP="007B0E0D">
      <w:pPr>
        <w:pStyle w:val="BodyText"/>
        <w:spacing w:after="0"/>
        <w:ind w:left="0"/>
        <w:rPr>
          <w:rFonts w:ascii="Calibri" w:hAnsi="Calibri"/>
          <w:szCs w:val="22"/>
        </w:rPr>
      </w:pPr>
    </w:p>
    <w:p w14:paraId="10D0DBA6" w14:textId="5B39BD96" w:rsidR="007B0E0D" w:rsidRPr="007B0E0D" w:rsidRDefault="007B0E0D" w:rsidP="007B0E0D">
      <w:pPr>
        <w:pStyle w:val="BodyText"/>
        <w:spacing w:after="0"/>
        <w:ind w:left="0"/>
        <w:rPr>
          <w:rFonts w:ascii="Calibri" w:hAnsi="Calibri"/>
          <w:szCs w:val="22"/>
        </w:rPr>
        <w:sectPr w:rsidR="007B0E0D" w:rsidRPr="007B0E0D">
          <w:pgSz w:w="12240" w:h="15840"/>
          <w:pgMar w:top="1480" w:right="1300" w:bottom="1100" w:left="1340" w:header="576" w:footer="914" w:gutter="0"/>
          <w:cols w:space="720"/>
        </w:sectPr>
      </w:pPr>
      <w:r>
        <w:rPr>
          <w:rFonts w:ascii="Calibri" w:hAnsi="Calibri"/>
          <w:szCs w:val="22"/>
        </w:rPr>
        <w:t>Whitefish Lake Institute (WLI). 20</w:t>
      </w:r>
      <w:r w:rsidR="00C6280D">
        <w:rPr>
          <w:rFonts w:ascii="Calibri" w:hAnsi="Calibri"/>
          <w:szCs w:val="22"/>
        </w:rPr>
        <w:t>20</w:t>
      </w:r>
      <w:r>
        <w:rPr>
          <w:rFonts w:ascii="Calibri" w:hAnsi="Calibri"/>
          <w:szCs w:val="22"/>
        </w:rPr>
        <w:t>. Northwest Montana Lakes Volunteer Monitoring Network 201</w:t>
      </w:r>
      <w:r w:rsidR="00C6280D">
        <w:rPr>
          <w:rFonts w:ascii="Calibri" w:hAnsi="Calibri"/>
          <w:szCs w:val="22"/>
        </w:rPr>
        <w:t>9</w:t>
      </w:r>
      <w:r>
        <w:rPr>
          <w:rFonts w:ascii="Calibri" w:hAnsi="Calibri"/>
          <w:szCs w:val="22"/>
        </w:rPr>
        <w:t xml:space="preserve"> Summary Report. Whitefish, MT.  </w:t>
      </w:r>
    </w:p>
    <w:p w14:paraId="32182C34" w14:textId="6BB3DDF6" w:rsidR="00911877" w:rsidRDefault="00911877" w:rsidP="00920FC9">
      <w:pPr>
        <w:pStyle w:val="Heading1"/>
      </w:pPr>
      <w:bookmarkStart w:id="111" w:name="_Toc109055236"/>
      <w:bookmarkStart w:id="112" w:name="_Toc527953324"/>
      <w:bookmarkStart w:id="113" w:name="_Toc67755746"/>
      <w:bookmarkStart w:id="114" w:name="_Toc218694555"/>
      <w:r>
        <w:lastRenderedPageBreak/>
        <w:t>Appendix A - Project Budget</w:t>
      </w:r>
      <w:bookmarkEnd w:id="111"/>
    </w:p>
    <w:p w14:paraId="65693B53" w14:textId="77777777" w:rsidR="00C6280D" w:rsidRDefault="00C6280D"/>
    <w:p w14:paraId="1AC65C6C" w14:textId="77777777" w:rsidR="00213CA7" w:rsidRDefault="00213CA7"/>
    <w:p w14:paraId="69A86FFB" w14:textId="02AB67C4" w:rsidR="00C6280D" w:rsidRDefault="00213CA7" w:rsidP="00EA09EC">
      <w:r w:rsidRPr="00213CA7">
        <w:rPr>
          <w:noProof/>
        </w:rPr>
        <w:drawing>
          <wp:inline distT="0" distB="0" distL="0" distR="0" wp14:anchorId="32166187" wp14:editId="5AD8C153">
            <wp:extent cx="6096000" cy="33674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3367405"/>
                    </a:xfrm>
                    <a:prstGeom prst="rect">
                      <a:avLst/>
                    </a:prstGeom>
                    <a:noFill/>
                    <a:ln>
                      <a:noFill/>
                    </a:ln>
                  </pic:spPr>
                </pic:pic>
              </a:graphicData>
            </a:graphic>
          </wp:inline>
        </w:drawing>
      </w:r>
    </w:p>
    <w:p w14:paraId="1FC418F2" w14:textId="531121AC" w:rsidR="00C6280D" w:rsidRDefault="00C6280D" w:rsidP="007C4D14"/>
    <w:p w14:paraId="1B44AE16" w14:textId="7F81E4B0" w:rsidR="00B22153" w:rsidRPr="00B22153" w:rsidRDefault="00B22153" w:rsidP="00B22153">
      <w:pPr>
        <w:sectPr w:rsidR="00B22153" w:rsidRPr="00B22153" w:rsidSect="0054109F">
          <w:footerReference w:type="default" r:id="rId18"/>
          <w:pgSz w:w="12240" w:h="15840"/>
          <w:pgMar w:top="1480" w:right="1300" w:bottom="1100" w:left="1340" w:header="576" w:footer="914" w:gutter="0"/>
          <w:pgNumType w:start="1"/>
          <w:cols w:space="720"/>
          <w:docGrid w:linePitch="299"/>
        </w:sectPr>
      </w:pPr>
    </w:p>
    <w:p w14:paraId="6C40287B" w14:textId="21C5094B" w:rsidR="00D76268" w:rsidRDefault="00911877" w:rsidP="00920FC9">
      <w:pPr>
        <w:pStyle w:val="Heading1"/>
      </w:pPr>
      <w:bookmarkStart w:id="115" w:name="_Toc109055237"/>
      <w:r>
        <w:lastRenderedPageBreak/>
        <w:t xml:space="preserve">Appendix </w:t>
      </w:r>
      <w:r w:rsidR="00D76268">
        <w:t>B – Field Forms</w:t>
      </w:r>
      <w:bookmarkEnd w:id="115"/>
    </w:p>
    <w:p w14:paraId="1F025917" w14:textId="77777777" w:rsidR="00213CA7" w:rsidRPr="00213CA7" w:rsidRDefault="00213CA7" w:rsidP="00213CA7"/>
    <w:p w14:paraId="470649FB" w14:textId="664612A6" w:rsidR="00D76268" w:rsidRDefault="00D76268" w:rsidP="00D76268"/>
    <w:p w14:paraId="54148C85" w14:textId="77777777" w:rsidR="00213CA7" w:rsidRDefault="00213CA7">
      <w:r>
        <w:br w:type="page"/>
      </w:r>
    </w:p>
    <w:p w14:paraId="6348195E" w14:textId="77777777" w:rsidR="00EC3B8F" w:rsidRDefault="00213CA7">
      <w:r w:rsidRPr="00213CA7">
        <w:rPr>
          <w:noProof/>
        </w:rPr>
        <w:lastRenderedPageBreak/>
        <w:drawing>
          <wp:inline distT="0" distB="0" distL="0" distR="0" wp14:anchorId="2B24E91E" wp14:editId="455018F9">
            <wp:extent cx="5843434" cy="489585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7934" r="19062" b="3770"/>
                    <a:stretch/>
                  </pic:blipFill>
                  <pic:spPr bwMode="auto">
                    <a:xfrm>
                      <a:off x="0" y="0"/>
                      <a:ext cx="5851189" cy="4902348"/>
                    </a:xfrm>
                    <a:prstGeom prst="rect">
                      <a:avLst/>
                    </a:prstGeom>
                    <a:noFill/>
                    <a:ln>
                      <a:noFill/>
                    </a:ln>
                    <a:extLst>
                      <a:ext uri="{53640926-AAD7-44D8-BBD7-CCE9431645EC}">
                        <a14:shadowObscured xmlns:a14="http://schemas.microsoft.com/office/drawing/2010/main"/>
                      </a:ext>
                    </a:extLst>
                  </pic:spPr>
                </pic:pic>
              </a:graphicData>
            </a:graphic>
          </wp:inline>
        </w:drawing>
      </w:r>
    </w:p>
    <w:p w14:paraId="29464F76" w14:textId="171D3F37" w:rsidR="00D76268" w:rsidRDefault="00D76268">
      <w:r>
        <w:br w:type="page"/>
      </w:r>
      <w:r w:rsidR="00EC3B8F" w:rsidRPr="00EC3B8F">
        <w:rPr>
          <w:noProof/>
        </w:rPr>
        <w:lastRenderedPageBreak/>
        <w:drawing>
          <wp:inline distT="0" distB="0" distL="0" distR="0" wp14:anchorId="06F381A4" wp14:editId="23D0AA2D">
            <wp:extent cx="5783616" cy="7705416"/>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2238" cy="7716902"/>
                    </a:xfrm>
                    <a:prstGeom prst="rect">
                      <a:avLst/>
                    </a:prstGeom>
                    <a:noFill/>
                    <a:ln>
                      <a:noFill/>
                    </a:ln>
                  </pic:spPr>
                </pic:pic>
              </a:graphicData>
            </a:graphic>
          </wp:inline>
        </w:drawing>
      </w:r>
    </w:p>
    <w:p w14:paraId="4EE2C3DC" w14:textId="77777777" w:rsidR="00817B0D" w:rsidRDefault="00817B0D">
      <w:pPr>
        <w:rPr>
          <w:rFonts w:cstheme="minorHAnsi"/>
          <w:b/>
          <w:bCs/>
          <w:caps/>
          <w:kern w:val="32"/>
          <w:sz w:val="36"/>
          <w:szCs w:val="32"/>
        </w:rPr>
      </w:pPr>
      <w:r>
        <w:br w:type="page"/>
      </w:r>
    </w:p>
    <w:p w14:paraId="5598B056" w14:textId="6834DBD7" w:rsidR="00094526" w:rsidRDefault="00D76268" w:rsidP="00920FC9">
      <w:pPr>
        <w:pStyle w:val="Heading1"/>
      </w:pPr>
      <w:bookmarkStart w:id="116" w:name="_Toc109055238"/>
      <w:r>
        <w:lastRenderedPageBreak/>
        <w:t>Appendix C</w:t>
      </w:r>
      <w:r w:rsidR="00911877">
        <w:t xml:space="preserve"> – </w:t>
      </w:r>
      <w:r w:rsidR="00094526">
        <w:t>EQUIPMENT AND SUPPLIES</w:t>
      </w:r>
      <w:bookmarkEnd w:id="116"/>
    </w:p>
    <w:p w14:paraId="3E79D8C7" w14:textId="77777777" w:rsidR="00094526" w:rsidRPr="00094526" w:rsidRDefault="00094526" w:rsidP="00094526"/>
    <w:p w14:paraId="06F031C9" w14:textId="388DEA4C" w:rsidR="00094526" w:rsidRDefault="00817B0D">
      <w:pPr>
        <w:rPr>
          <w:rFonts w:cstheme="minorHAnsi"/>
          <w:b/>
          <w:bCs/>
          <w:caps/>
          <w:kern w:val="32"/>
          <w:sz w:val="36"/>
          <w:szCs w:val="32"/>
        </w:rPr>
      </w:pPr>
      <w:r w:rsidRPr="00817B0D">
        <w:rPr>
          <w:noProof/>
        </w:rPr>
        <w:drawing>
          <wp:inline distT="0" distB="0" distL="0" distR="0" wp14:anchorId="4E0ED43A" wp14:editId="0D4C1670">
            <wp:extent cx="4953000" cy="74701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t="3342"/>
                    <a:stretch/>
                  </pic:blipFill>
                  <pic:spPr bwMode="auto">
                    <a:xfrm>
                      <a:off x="0" y="0"/>
                      <a:ext cx="4974588" cy="7502730"/>
                    </a:xfrm>
                    <a:prstGeom prst="rect">
                      <a:avLst/>
                    </a:prstGeom>
                    <a:noFill/>
                    <a:ln>
                      <a:noFill/>
                    </a:ln>
                    <a:extLst>
                      <a:ext uri="{53640926-AAD7-44D8-BBD7-CCE9431645EC}">
                        <a14:shadowObscured xmlns:a14="http://schemas.microsoft.com/office/drawing/2010/main"/>
                      </a:ext>
                    </a:extLst>
                  </pic:spPr>
                </pic:pic>
              </a:graphicData>
            </a:graphic>
          </wp:inline>
        </w:drawing>
      </w:r>
      <w:r w:rsidR="00094526">
        <w:br w:type="page"/>
      </w:r>
    </w:p>
    <w:p w14:paraId="6DC34B5C" w14:textId="4DD823BF" w:rsidR="00911877" w:rsidRDefault="00094526" w:rsidP="00920FC9">
      <w:pPr>
        <w:pStyle w:val="Heading1"/>
      </w:pPr>
      <w:bookmarkStart w:id="117" w:name="_Toc109055239"/>
      <w:r>
        <w:lastRenderedPageBreak/>
        <w:t xml:space="preserve">Appendix D – </w:t>
      </w:r>
      <w:r w:rsidR="00444A33">
        <w:t>Q</w:t>
      </w:r>
      <w:r w:rsidR="006C4DB3">
        <w:t>A/QC</w:t>
      </w:r>
      <w:r w:rsidR="00444A33">
        <w:t xml:space="preserve"> Terms and Definitions</w:t>
      </w:r>
      <w:bookmarkEnd w:id="117"/>
    </w:p>
    <w:p w14:paraId="76E3F429" w14:textId="77777777" w:rsidR="00444A33" w:rsidRPr="00D900AC" w:rsidRDefault="00444A33" w:rsidP="00444A33">
      <w:pPr>
        <w:rPr>
          <w:rFonts w:cstheme="minorHAnsi"/>
          <w:szCs w:val="22"/>
        </w:rPr>
      </w:pPr>
      <w:r w:rsidRPr="00D900AC">
        <w:rPr>
          <w:rFonts w:cstheme="minorHAnsi"/>
          <w:b/>
          <w:szCs w:val="22"/>
        </w:rPr>
        <w:t>Accuracy</w:t>
      </w:r>
      <w:r w:rsidRPr="00D900AC">
        <w:rPr>
          <w:rFonts w:cstheme="minorHAnsi"/>
          <w:szCs w:val="22"/>
        </w:rPr>
        <w:t xml:space="preserve">. A data quality indicator, accuracy is the extent of agreement between an observed value (sampling result) and the accepted, or true, value of the parameter being measured. High accuracy can be defined as a combination of high precision and low bias. </w:t>
      </w:r>
    </w:p>
    <w:p w14:paraId="221AB578" w14:textId="77777777" w:rsidR="00444A33" w:rsidRPr="00D900AC" w:rsidRDefault="00444A33" w:rsidP="00444A33">
      <w:pPr>
        <w:rPr>
          <w:rFonts w:cstheme="minorHAnsi"/>
          <w:szCs w:val="22"/>
        </w:rPr>
      </w:pPr>
    </w:p>
    <w:p w14:paraId="75B077B6" w14:textId="77777777" w:rsidR="00444A33" w:rsidRPr="00D900AC" w:rsidRDefault="00444A33" w:rsidP="00444A33">
      <w:pPr>
        <w:rPr>
          <w:rFonts w:cstheme="minorHAnsi"/>
          <w:szCs w:val="22"/>
        </w:rPr>
      </w:pPr>
      <w:r w:rsidRPr="00D900AC">
        <w:rPr>
          <w:rFonts w:cstheme="minorHAnsi"/>
          <w:b/>
          <w:szCs w:val="22"/>
        </w:rPr>
        <w:t>Analyte</w:t>
      </w:r>
      <w:r w:rsidRPr="00D900AC">
        <w:rPr>
          <w:rFonts w:cstheme="minorHAnsi"/>
          <w:szCs w:val="22"/>
        </w:rPr>
        <w:t xml:space="preserve">. Within a medium, such as water, an analyte is a property or substance to be measured. Examples of analytes would include pH, dissolved oxygen, bacteria, and heavy metals. </w:t>
      </w:r>
    </w:p>
    <w:p w14:paraId="0DED6706" w14:textId="77777777" w:rsidR="00444A33" w:rsidRPr="00D900AC" w:rsidRDefault="00444A33" w:rsidP="00444A33">
      <w:pPr>
        <w:rPr>
          <w:rFonts w:cstheme="minorHAnsi"/>
          <w:szCs w:val="22"/>
        </w:rPr>
      </w:pPr>
    </w:p>
    <w:p w14:paraId="679605DA" w14:textId="77777777" w:rsidR="00444A33" w:rsidRPr="00D900AC" w:rsidRDefault="00444A33" w:rsidP="00444A33">
      <w:pPr>
        <w:rPr>
          <w:rFonts w:cstheme="minorHAnsi"/>
          <w:szCs w:val="22"/>
        </w:rPr>
      </w:pPr>
      <w:r w:rsidRPr="00D900AC">
        <w:rPr>
          <w:rFonts w:cstheme="minorHAnsi"/>
          <w:b/>
          <w:szCs w:val="22"/>
        </w:rPr>
        <w:t>Bias</w:t>
      </w:r>
      <w:r w:rsidRPr="00D900AC">
        <w:rPr>
          <w:rFonts w:cstheme="minorHAnsi"/>
          <w:szCs w:val="22"/>
        </w:rPr>
        <w:t xml:space="preserve">. Often used as a data quality indicator, bias is the degree of systematic error present in the assessment or analysis process. When bias is present, the sampling result value will differ from the accepted, or true, value of the parameter being assessed. </w:t>
      </w:r>
    </w:p>
    <w:p w14:paraId="016B70A3" w14:textId="77777777" w:rsidR="00444A33" w:rsidRPr="00D900AC" w:rsidRDefault="00444A33" w:rsidP="00444A33">
      <w:pPr>
        <w:rPr>
          <w:rFonts w:cstheme="minorHAnsi"/>
          <w:szCs w:val="22"/>
        </w:rPr>
      </w:pPr>
    </w:p>
    <w:p w14:paraId="11CCDB09" w14:textId="77777777" w:rsidR="00444A33" w:rsidRPr="00D900AC" w:rsidRDefault="00444A33" w:rsidP="00444A33">
      <w:pPr>
        <w:rPr>
          <w:rFonts w:cstheme="minorHAnsi"/>
          <w:szCs w:val="22"/>
        </w:rPr>
      </w:pPr>
      <w:r w:rsidRPr="00D900AC">
        <w:rPr>
          <w:rFonts w:cstheme="minorHAnsi"/>
          <w:b/>
          <w:szCs w:val="22"/>
        </w:rPr>
        <w:t>Blind sample</w:t>
      </w:r>
      <w:r w:rsidRPr="00D900AC">
        <w:rPr>
          <w:rFonts w:cstheme="minorHAnsi"/>
          <w:szCs w:val="22"/>
        </w:rPr>
        <w:t xml:space="preserve">. A type of sample used for quality control purposes, a blind sample is a sample submitted to an analyst without their knowledge of its identity or composition. Blind samples are used to test the analyst’s or laboratory’s expertise in performing the sample analysis. </w:t>
      </w:r>
    </w:p>
    <w:p w14:paraId="7AFB9620" w14:textId="77777777" w:rsidR="00444A33" w:rsidRPr="00D900AC" w:rsidRDefault="00444A33" w:rsidP="00444A33">
      <w:pPr>
        <w:rPr>
          <w:rFonts w:cstheme="minorHAnsi"/>
          <w:szCs w:val="22"/>
        </w:rPr>
      </w:pPr>
    </w:p>
    <w:p w14:paraId="20BB3543" w14:textId="77777777" w:rsidR="00444A33" w:rsidRPr="00D900AC" w:rsidRDefault="00444A33" w:rsidP="00444A33">
      <w:pPr>
        <w:rPr>
          <w:rFonts w:cstheme="minorHAnsi"/>
          <w:szCs w:val="22"/>
        </w:rPr>
      </w:pPr>
      <w:r w:rsidRPr="00D900AC">
        <w:rPr>
          <w:rFonts w:cstheme="minorHAnsi"/>
          <w:b/>
          <w:szCs w:val="22"/>
        </w:rPr>
        <w:t>Comparability</w:t>
      </w:r>
      <w:r w:rsidRPr="00D900AC">
        <w:rPr>
          <w:rFonts w:cstheme="minorHAnsi"/>
          <w:szCs w:val="22"/>
        </w:rPr>
        <w:t xml:space="preserve">. A data quality indicator, comparability is the degree to which different methods, data sets, and/or decisions agree or are similar. </w:t>
      </w:r>
    </w:p>
    <w:p w14:paraId="48F70F26" w14:textId="77777777" w:rsidR="00444A33" w:rsidRPr="00D900AC" w:rsidRDefault="00444A33" w:rsidP="00444A33">
      <w:pPr>
        <w:rPr>
          <w:rFonts w:cstheme="minorHAnsi"/>
          <w:szCs w:val="22"/>
        </w:rPr>
      </w:pPr>
    </w:p>
    <w:p w14:paraId="490D0D68" w14:textId="77777777" w:rsidR="00444A33" w:rsidRPr="00D900AC" w:rsidRDefault="00444A33" w:rsidP="00444A33">
      <w:pPr>
        <w:rPr>
          <w:rFonts w:cstheme="minorHAnsi"/>
          <w:szCs w:val="22"/>
        </w:rPr>
      </w:pPr>
      <w:r w:rsidRPr="00D900AC">
        <w:rPr>
          <w:rFonts w:cstheme="minorHAnsi"/>
          <w:b/>
          <w:szCs w:val="22"/>
        </w:rPr>
        <w:t>Completeness</w:t>
      </w:r>
      <w:r w:rsidRPr="00D900AC">
        <w:rPr>
          <w:rFonts w:cstheme="minorHAnsi"/>
          <w:szCs w:val="22"/>
        </w:rPr>
        <w:t xml:space="preserve">. A data quality indicator that is generally expressed as a percentage, completeness is the amount of valid data obtained compared to the amount of data planned. </w:t>
      </w:r>
    </w:p>
    <w:p w14:paraId="14C81824" w14:textId="77777777" w:rsidR="00444A33" w:rsidRPr="00D900AC" w:rsidRDefault="00444A33" w:rsidP="00444A33">
      <w:pPr>
        <w:rPr>
          <w:rFonts w:cstheme="minorHAnsi"/>
          <w:szCs w:val="22"/>
        </w:rPr>
      </w:pPr>
    </w:p>
    <w:p w14:paraId="5B52C9E2" w14:textId="77777777" w:rsidR="00444A33" w:rsidRPr="00D900AC" w:rsidRDefault="00444A33" w:rsidP="00444A33">
      <w:pPr>
        <w:rPr>
          <w:rFonts w:cstheme="minorHAnsi"/>
          <w:szCs w:val="22"/>
        </w:rPr>
      </w:pPr>
      <w:r w:rsidRPr="00D900AC">
        <w:rPr>
          <w:rFonts w:cstheme="minorHAnsi"/>
          <w:b/>
          <w:szCs w:val="22"/>
        </w:rPr>
        <w:t>Data users</w:t>
      </w:r>
      <w:r w:rsidRPr="00D900AC">
        <w:rPr>
          <w:rFonts w:cstheme="minorHAnsi"/>
          <w:szCs w:val="22"/>
        </w:rPr>
        <w:t xml:space="preserve">. The group(s) that will be applying the data results for some purpose. Data users can include the monitors themselves as well as government agencies, schools, universities, businesses, watershed organizations, and community groups. </w:t>
      </w:r>
    </w:p>
    <w:p w14:paraId="1217D4C5" w14:textId="77777777" w:rsidR="00444A33" w:rsidRPr="00D900AC" w:rsidRDefault="00444A33" w:rsidP="00444A33">
      <w:pPr>
        <w:rPr>
          <w:rFonts w:cstheme="minorHAnsi"/>
          <w:szCs w:val="22"/>
        </w:rPr>
      </w:pPr>
    </w:p>
    <w:p w14:paraId="374A5219" w14:textId="77777777" w:rsidR="00444A33" w:rsidRPr="00D900AC" w:rsidRDefault="00444A33" w:rsidP="00444A33">
      <w:pPr>
        <w:rPr>
          <w:rFonts w:cstheme="minorHAnsi"/>
          <w:szCs w:val="22"/>
        </w:rPr>
      </w:pPr>
      <w:r w:rsidRPr="00D900AC">
        <w:rPr>
          <w:rFonts w:cstheme="minorHAnsi"/>
          <w:b/>
          <w:szCs w:val="22"/>
        </w:rPr>
        <w:t>Data quality indicators (DQIs)</w:t>
      </w:r>
      <w:r w:rsidRPr="00D900AC">
        <w:rPr>
          <w:rFonts w:cstheme="minorHAnsi"/>
          <w:szCs w:val="22"/>
        </w:rPr>
        <w:t xml:space="preserve">. DQIs are attributes of samples that allow for assessment of data quality. These include precision, accuracy, bias, sensitivity, comparability, </w:t>
      </w:r>
      <w:proofErr w:type="gramStart"/>
      <w:r w:rsidRPr="00D900AC">
        <w:rPr>
          <w:rFonts w:cstheme="minorHAnsi"/>
          <w:szCs w:val="22"/>
        </w:rPr>
        <w:t>representativeness</w:t>
      </w:r>
      <w:proofErr w:type="gramEnd"/>
      <w:r w:rsidRPr="00D900AC">
        <w:rPr>
          <w:rFonts w:cstheme="minorHAnsi"/>
          <w:szCs w:val="22"/>
        </w:rPr>
        <w:t xml:space="preserve"> and completeness. </w:t>
      </w:r>
    </w:p>
    <w:p w14:paraId="393C5C54" w14:textId="77777777" w:rsidR="00444A33" w:rsidRPr="00D900AC" w:rsidRDefault="00444A33" w:rsidP="00444A33">
      <w:pPr>
        <w:rPr>
          <w:rFonts w:cstheme="minorHAnsi"/>
          <w:szCs w:val="22"/>
        </w:rPr>
      </w:pPr>
    </w:p>
    <w:p w14:paraId="5BAED4C9" w14:textId="77777777" w:rsidR="00444A33" w:rsidRPr="00D900AC" w:rsidRDefault="00444A33" w:rsidP="00444A33">
      <w:pPr>
        <w:rPr>
          <w:rFonts w:cstheme="minorHAnsi"/>
          <w:szCs w:val="22"/>
        </w:rPr>
      </w:pPr>
      <w:r w:rsidRPr="00D900AC">
        <w:rPr>
          <w:rFonts w:cstheme="minorHAnsi"/>
          <w:b/>
          <w:szCs w:val="22"/>
        </w:rPr>
        <w:t>Data quality objectives (DQOs)</w:t>
      </w:r>
      <w:r w:rsidRPr="00D900AC">
        <w:rPr>
          <w:rFonts w:cstheme="minorHAnsi"/>
          <w:szCs w:val="22"/>
        </w:rPr>
        <w:t xml:space="preserve">. Data quality objectives are quantitative and qualitative statements describing the degree of the data’s acceptability or utility to the data user(s). They include data quality indicators (DQIs) such as accuracy, precision, representativeness, comparability, and completeness. DQOs specify the quality of the data needed </w:t>
      </w:r>
      <w:proofErr w:type="gramStart"/>
      <w:r w:rsidRPr="00D900AC">
        <w:rPr>
          <w:rFonts w:cstheme="minorHAnsi"/>
          <w:szCs w:val="22"/>
        </w:rPr>
        <w:t>in order to</w:t>
      </w:r>
      <w:proofErr w:type="gramEnd"/>
      <w:r w:rsidRPr="00D900AC">
        <w:rPr>
          <w:rFonts w:cstheme="minorHAnsi"/>
          <w:szCs w:val="22"/>
        </w:rPr>
        <w:t xml:space="preserve"> meet the monitoring project's goals. The planning process for ensuring environmental data are of the type, quality, and quantity needed for decision making is called the DQO process. Madison Stream Team Sampling and Analysis Plan Page 23 </w:t>
      </w:r>
    </w:p>
    <w:p w14:paraId="5D260DCA" w14:textId="77777777" w:rsidR="00444A33" w:rsidRPr="00D900AC" w:rsidRDefault="00444A33" w:rsidP="00444A33">
      <w:pPr>
        <w:rPr>
          <w:rFonts w:cstheme="minorHAnsi"/>
          <w:szCs w:val="22"/>
        </w:rPr>
      </w:pPr>
    </w:p>
    <w:p w14:paraId="17EBF85E" w14:textId="77777777" w:rsidR="00444A33" w:rsidRPr="00D900AC" w:rsidRDefault="00444A33" w:rsidP="00444A33">
      <w:pPr>
        <w:rPr>
          <w:rFonts w:cstheme="minorHAnsi"/>
          <w:szCs w:val="22"/>
        </w:rPr>
      </w:pPr>
      <w:r w:rsidRPr="00D900AC">
        <w:rPr>
          <w:rFonts w:cstheme="minorHAnsi"/>
          <w:b/>
          <w:szCs w:val="22"/>
        </w:rPr>
        <w:t>Detection limit</w:t>
      </w:r>
      <w:r w:rsidRPr="00D900AC">
        <w:rPr>
          <w:rFonts w:cstheme="minorHAnsi"/>
          <w:szCs w:val="22"/>
        </w:rPr>
        <w:t xml:space="preserve">. Applied to both methods and equipment, detection limits are the lowest concentration of a target analyte that a given method or piece of equipment can reliably ascertain and report as greater than zero. </w:t>
      </w:r>
    </w:p>
    <w:p w14:paraId="52A3FCE6" w14:textId="77777777" w:rsidR="00444A33" w:rsidRPr="00D900AC" w:rsidRDefault="00444A33" w:rsidP="00444A33">
      <w:pPr>
        <w:rPr>
          <w:rFonts w:cstheme="minorHAnsi"/>
          <w:szCs w:val="22"/>
        </w:rPr>
      </w:pPr>
    </w:p>
    <w:p w14:paraId="7829D9B8" w14:textId="77777777" w:rsidR="00444A33" w:rsidRPr="00D900AC" w:rsidRDefault="00444A33" w:rsidP="00444A33">
      <w:pPr>
        <w:rPr>
          <w:rFonts w:cstheme="minorHAnsi"/>
          <w:szCs w:val="22"/>
        </w:rPr>
      </w:pPr>
      <w:r w:rsidRPr="00D900AC">
        <w:rPr>
          <w:rFonts w:cstheme="minorHAnsi"/>
          <w:b/>
          <w:szCs w:val="22"/>
        </w:rPr>
        <w:t>Duplicate sample</w:t>
      </w:r>
      <w:r w:rsidRPr="00D900AC">
        <w:rPr>
          <w:rFonts w:cstheme="minorHAnsi"/>
          <w:szCs w:val="22"/>
        </w:rPr>
        <w:t xml:space="preserve">. Used for quality control purposes, duplicate samples are an additional sample taken at the same time from, and representative of, the same site that are carried through all assessment and analytical procedures in an identical manner. Duplicate samples are used to measure natural variability as well as the precision of a method, monitor, and/or analyst. More than two duplicate samples are referred to as replicate samples. </w:t>
      </w:r>
    </w:p>
    <w:p w14:paraId="789263B2" w14:textId="77777777" w:rsidR="00444A33" w:rsidRPr="00D900AC" w:rsidRDefault="00444A33" w:rsidP="00444A33">
      <w:pPr>
        <w:rPr>
          <w:rFonts w:cstheme="minorHAnsi"/>
          <w:szCs w:val="22"/>
        </w:rPr>
      </w:pPr>
    </w:p>
    <w:p w14:paraId="2307AD9C" w14:textId="77777777" w:rsidR="00444A33" w:rsidRPr="00D900AC" w:rsidRDefault="00444A33" w:rsidP="00444A33">
      <w:pPr>
        <w:rPr>
          <w:rFonts w:cstheme="minorHAnsi"/>
          <w:szCs w:val="22"/>
        </w:rPr>
      </w:pPr>
      <w:r w:rsidRPr="00D900AC">
        <w:rPr>
          <w:rFonts w:cstheme="minorHAnsi"/>
          <w:b/>
          <w:szCs w:val="22"/>
        </w:rPr>
        <w:lastRenderedPageBreak/>
        <w:t>Environmental sample</w:t>
      </w:r>
      <w:r w:rsidRPr="00D900AC">
        <w:rPr>
          <w:rFonts w:cstheme="minorHAnsi"/>
          <w:szCs w:val="22"/>
        </w:rPr>
        <w:t xml:space="preserve">. An environmental sample is a specimen of any material collected from an environmental source, such as water or macroinvertebrates collected from a stream, lake, or estuary. </w:t>
      </w:r>
    </w:p>
    <w:p w14:paraId="65663D59" w14:textId="77777777" w:rsidR="001B3C42" w:rsidRPr="00D900AC" w:rsidRDefault="001B3C42" w:rsidP="00444A33">
      <w:pPr>
        <w:rPr>
          <w:rFonts w:cstheme="minorHAnsi"/>
          <w:b/>
          <w:szCs w:val="22"/>
        </w:rPr>
      </w:pPr>
    </w:p>
    <w:p w14:paraId="789BFC94" w14:textId="77777777" w:rsidR="00444A33" w:rsidRPr="00D900AC" w:rsidRDefault="00444A33" w:rsidP="00444A33">
      <w:pPr>
        <w:rPr>
          <w:rFonts w:cstheme="minorHAnsi"/>
          <w:szCs w:val="22"/>
        </w:rPr>
      </w:pPr>
      <w:r w:rsidRPr="00D900AC">
        <w:rPr>
          <w:rFonts w:cstheme="minorHAnsi"/>
          <w:b/>
          <w:szCs w:val="22"/>
        </w:rPr>
        <w:t>Field blank</w:t>
      </w:r>
      <w:r w:rsidRPr="00D900AC">
        <w:rPr>
          <w:rFonts w:cstheme="minorHAnsi"/>
          <w:szCs w:val="22"/>
        </w:rPr>
        <w:t xml:space="preserve">. Used for quality control purposes, a field blank is a “clean” sample (e.g., distilled water) that is otherwise treated the same as other samples taken from the field. Field blanks are submitted to the analyst along with all other samples and are used to detect any contaminants that may be introduced during sample collection, storage, analysis, and transport. </w:t>
      </w:r>
    </w:p>
    <w:p w14:paraId="1335C1D7" w14:textId="77777777" w:rsidR="00444A33" w:rsidRPr="00D900AC" w:rsidRDefault="00444A33" w:rsidP="00444A33">
      <w:pPr>
        <w:rPr>
          <w:rFonts w:cstheme="minorHAnsi"/>
          <w:szCs w:val="22"/>
        </w:rPr>
      </w:pPr>
    </w:p>
    <w:p w14:paraId="105A0331" w14:textId="77777777" w:rsidR="00444A33" w:rsidRPr="00D900AC" w:rsidRDefault="00444A33" w:rsidP="00444A33">
      <w:pPr>
        <w:rPr>
          <w:rFonts w:cstheme="minorHAnsi"/>
          <w:szCs w:val="22"/>
        </w:rPr>
      </w:pPr>
      <w:r w:rsidRPr="00D900AC">
        <w:rPr>
          <w:rFonts w:cstheme="minorHAnsi"/>
          <w:b/>
          <w:szCs w:val="22"/>
        </w:rPr>
        <w:t>Instrument detection limit</w:t>
      </w:r>
      <w:r w:rsidRPr="00D900AC">
        <w:rPr>
          <w:rFonts w:cstheme="minorHAnsi"/>
          <w:szCs w:val="22"/>
        </w:rPr>
        <w:t xml:space="preserve">. The instrument detection limit is the lowest concentration of a given substance or analyte that can be reliably detected by analytical equipment or instruments (see detection limit). </w:t>
      </w:r>
    </w:p>
    <w:p w14:paraId="6839171C" w14:textId="77777777" w:rsidR="00444A33" w:rsidRPr="00D900AC" w:rsidRDefault="00444A33" w:rsidP="00444A33">
      <w:pPr>
        <w:rPr>
          <w:rFonts w:cstheme="minorHAnsi"/>
          <w:szCs w:val="22"/>
        </w:rPr>
      </w:pPr>
    </w:p>
    <w:p w14:paraId="713882BB" w14:textId="77777777" w:rsidR="00444A33" w:rsidRPr="00D900AC" w:rsidRDefault="00444A33" w:rsidP="00444A33">
      <w:pPr>
        <w:rPr>
          <w:rFonts w:cstheme="minorHAnsi"/>
          <w:szCs w:val="22"/>
        </w:rPr>
      </w:pPr>
      <w:r w:rsidRPr="00D900AC">
        <w:rPr>
          <w:rFonts w:cstheme="minorHAnsi"/>
          <w:b/>
          <w:szCs w:val="22"/>
        </w:rPr>
        <w:t>Matrix</w:t>
      </w:r>
      <w:r w:rsidRPr="00D900AC">
        <w:rPr>
          <w:rFonts w:cstheme="minorHAnsi"/>
          <w:szCs w:val="22"/>
        </w:rPr>
        <w:t xml:space="preserve">. A matrix is a specific type of medium, such as surface water or sediment, in which the analyte of interest may be contained. </w:t>
      </w:r>
    </w:p>
    <w:p w14:paraId="1FFC3FEA" w14:textId="77777777" w:rsidR="00444A33" w:rsidRPr="00D900AC" w:rsidRDefault="00444A33" w:rsidP="00444A33">
      <w:pPr>
        <w:rPr>
          <w:rFonts w:cstheme="minorHAnsi"/>
          <w:szCs w:val="22"/>
        </w:rPr>
      </w:pPr>
    </w:p>
    <w:p w14:paraId="2B2CB0C7" w14:textId="77777777" w:rsidR="00444A33" w:rsidRPr="00D900AC" w:rsidRDefault="00444A33" w:rsidP="00444A33">
      <w:pPr>
        <w:rPr>
          <w:rFonts w:cstheme="minorHAnsi"/>
          <w:szCs w:val="22"/>
        </w:rPr>
      </w:pPr>
      <w:r w:rsidRPr="00D900AC">
        <w:rPr>
          <w:rFonts w:cstheme="minorHAnsi"/>
          <w:b/>
          <w:szCs w:val="22"/>
        </w:rPr>
        <w:t>Measurement Range</w:t>
      </w:r>
      <w:r w:rsidRPr="00D900AC">
        <w:rPr>
          <w:rFonts w:cstheme="minorHAnsi"/>
          <w:szCs w:val="22"/>
        </w:rPr>
        <w:t xml:space="preserve">. The measurement range is the extent of reliable readings of an instrument or measuring device, as specified by the manufacturer. </w:t>
      </w:r>
    </w:p>
    <w:p w14:paraId="6C8681AE" w14:textId="77777777" w:rsidR="00444A33" w:rsidRPr="00D900AC" w:rsidRDefault="00444A33" w:rsidP="00444A33">
      <w:pPr>
        <w:rPr>
          <w:rFonts w:cstheme="minorHAnsi"/>
          <w:szCs w:val="22"/>
        </w:rPr>
      </w:pPr>
    </w:p>
    <w:p w14:paraId="7F29E3AC" w14:textId="77777777" w:rsidR="00444A33" w:rsidRPr="00D900AC" w:rsidRDefault="00444A33" w:rsidP="00444A33">
      <w:pPr>
        <w:rPr>
          <w:rFonts w:cstheme="minorHAnsi"/>
          <w:szCs w:val="22"/>
        </w:rPr>
      </w:pPr>
      <w:r w:rsidRPr="00D900AC">
        <w:rPr>
          <w:rFonts w:cstheme="minorHAnsi"/>
          <w:b/>
          <w:szCs w:val="22"/>
        </w:rPr>
        <w:t>Method detection limit (MDL)</w:t>
      </w:r>
      <w:r w:rsidRPr="00D900AC">
        <w:rPr>
          <w:rFonts w:cstheme="minorHAnsi"/>
          <w:szCs w:val="22"/>
        </w:rPr>
        <w:t xml:space="preserve">. The MDL is the lowest concentration of a given substance or analyte that can be reliably detected by an analytical procedure (see detection limit). </w:t>
      </w:r>
    </w:p>
    <w:p w14:paraId="05103A3E" w14:textId="77777777" w:rsidR="00444A33" w:rsidRPr="00D900AC" w:rsidRDefault="00444A33" w:rsidP="00444A33">
      <w:pPr>
        <w:rPr>
          <w:rFonts w:cstheme="minorHAnsi"/>
          <w:szCs w:val="22"/>
        </w:rPr>
      </w:pPr>
    </w:p>
    <w:p w14:paraId="5A9720A2" w14:textId="77777777" w:rsidR="00444A33" w:rsidRPr="00D900AC" w:rsidRDefault="00444A33" w:rsidP="00444A33">
      <w:pPr>
        <w:rPr>
          <w:rFonts w:cstheme="minorHAnsi"/>
          <w:szCs w:val="22"/>
        </w:rPr>
      </w:pPr>
      <w:r w:rsidRPr="00D900AC">
        <w:rPr>
          <w:rFonts w:cstheme="minorHAnsi"/>
          <w:b/>
          <w:szCs w:val="22"/>
        </w:rPr>
        <w:t>Precision</w:t>
      </w:r>
      <w:r w:rsidRPr="00D900AC">
        <w:rPr>
          <w:rFonts w:cstheme="minorHAnsi"/>
          <w:szCs w:val="22"/>
        </w:rPr>
        <w:t xml:space="preserve">. A data quality indicator, precision measures the level of agreement or variability among a set of repeated measurements, obtained under similar conditions. Relative percent difference (RPD) is an example of a way to calculate precision by looking at the difference between results for two duplicate samples. </w:t>
      </w:r>
    </w:p>
    <w:p w14:paraId="72CBC4F5" w14:textId="77777777" w:rsidR="00444A33" w:rsidRPr="00D900AC" w:rsidRDefault="00444A33" w:rsidP="00444A33">
      <w:pPr>
        <w:rPr>
          <w:rFonts w:cstheme="minorHAnsi"/>
          <w:szCs w:val="22"/>
        </w:rPr>
      </w:pPr>
    </w:p>
    <w:p w14:paraId="0E4FF09B" w14:textId="77777777" w:rsidR="00444A33" w:rsidRPr="00D900AC" w:rsidRDefault="00444A33" w:rsidP="00444A33">
      <w:pPr>
        <w:rPr>
          <w:rFonts w:cstheme="minorHAnsi"/>
          <w:szCs w:val="22"/>
        </w:rPr>
      </w:pPr>
      <w:r w:rsidRPr="00D900AC">
        <w:rPr>
          <w:rFonts w:cstheme="minorHAnsi"/>
          <w:b/>
          <w:szCs w:val="22"/>
        </w:rPr>
        <w:t>Protocols</w:t>
      </w:r>
      <w:r w:rsidRPr="00D900AC">
        <w:rPr>
          <w:rFonts w:cstheme="minorHAnsi"/>
          <w:szCs w:val="22"/>
        </w:rPr>
        <w:t xml:space="preserve">. Protocols are detailed, written, standardized procedures for field and/or laboratory operations. </w:t>
      </w:r>
    </w:p>
    <w:p w14:paraId="2BCE18B1" w14:textId="77777777" w:rsidR="00444A33" w:rsidRPr="00D900AC" w:rsidRDefault="00444A33" w:rsidP="00444A33">
      <w:pPr>
        <w:rPr>
          <w:rFonts w:cstheme="minorHAnsi"/>
          <w:szCs w:val="22"/>
        </w:rPr>
      </w:pPr>
    </w:p>
    <w:p w14:paraId="1C96027D" w14:textId="77777777" w:rsidR="00444A33" w:rsidRPr="00D900AC" w:rsidRDefault="00444A33" w:rsidP="00444A33">
      <w:pPr>
        <w:rPr>
          <w:rFonts w:cstheme="minorHAnsi"/>
          <w:szCs w:val="22"/>
        </w:rPr>
      </w:pPr>
      <w:r w:rsidRPr="00D900AC">
        <w:rPr>
          <w:rFonts w:cstheme="minorHAnsi"/>
          <w:b/>
          <w:szCs w:val="22"/>
        </w:rPr>
        <w:t>Quality assurance (QA)</w:t>
      </w:r>
      <w:r w:rsidRPr="00D900AC">
        <w:rPr>
          <w:rFonts w:cstheme="minorHAnsi"/>
          <w:szCs w:val="22"/>
        </w:rPr>
        <w:t xml:space="preserve">. QA is the process of ensuring quality in data collection </w:t>
      </w:r>
      <w:proofErr w:type="gramStart"/>
      <w:r w:rsidRPr="00D900AC">
        <w:rPr>
          <w:rFonts w:cstheme="minorHAnsi"/>
          <w:szCs w:val="22"/>
        </w:rPr>
        <w:t>including:</w:t>
      </w:r>
      <w:proofErr w:type="gramEnd"/>
      <w:r w:rsidRPr="00D900AC">
        <w:rPr>
          <w:rFonts w:cstheme="minorHAnsi"/>
          <w:szCs w:val="22"/>
        </w:rPr>
        <w:t xml:space="preserve"> developing a plan, using established procedures, documenting field activities, implementing planned activities, assessing and improving the data collection process and assessing data quality by evaluating field and lab quality control (QC) samples. </w:t>
      </w:r>
    </w:p>
    <w:p w14:paraId="41EA3420" w14:textId="77777777" w:rsidR="00444A33" w:rsidRPr="00D900AC" w:rsidRDefault="00444A33" w:rsidP="00444A33">
      <w:pPr>
        <w:rPr>
          <w:rFonts w:cstheme="minorHAnsi"/>
          <w:szCs w:val="22"/>
        </w:rPr>
      </w:pPr>
    </w:p>
    <w:p w14:paraId="50DE8ABD" w14:textId="77777777" w:rsidR="00444A33" w:rsidRPr="00D900AC" w:rsidRDefault="00444A33" w:rsidP="00444A33">
      <w:pPr>
        <w:rPr>
          <w:rFonts w:cstheme="minorHAnsi"/>
          <w:szCs w:val="22"/>
        </w:rPr>
      </w:pPr>
      <w:r w:rsidRPr="00D900AC">
        <w:rPr>
          <w:rFonts w:cstheme="minorHAnsi"/>
          <w:b/>
          <w:szCs w:val="22"/>
        </w:rPr>
        <w:t>Quality assurance project plan (QAPP)</w:t>
      </w:r>
      <w:r w:rsidRPr="00D900AC">
        <w:rPr>
          <w:rFonts w:cstheme="minorHAnsi"/>
          <w:szCs w:val="22"/>
        </w:rPr>
        <w:t xml:space="preserve">. A QAPP is a formal written document describing the detailed quality control procedures that will be used to achieve a specific project’s data quality requirements. This is an overarching document that might cover </w:t>
      </w:r>
      <w:proofErr w:type="gramStart"/>
      <w:r w:rsidRPr="00D900AC">
        <w:rPr>
          <w:rFonts w:cstheme="minorHAnsi"/>
          <w:szCs w:val="22"/>
        </w:rPr>
        <w:t>a number of</w:t>
      </w:r>
      <w:proofErr w:type="gramEnd"/>
      <w:r w:rsidRPr="00D900AC">
        <w:rPr>
          <w:rFonts w:cstheme="minorHAnsi"/>
          <w:szCs w:val="22"/>
        </w:rPr>
        <w:t xml:space="preserve"> smaller projects a group is working on. A QAPP may have </w:t>
      </w:r>
      <w:proofErr w:type="gramStart"/>
      <w:r w:rsidRPr="00D900AC">
        <w:rPr>
          <w:rFonts w:cstheme="minorHAnsi"/>
          <w:szCs w:val="22"/>
        </w:rPr>
        <w:t>a number of</w:t>
      </w:r>
      <w:proofErr w:type="gramEnd"/>
      <w:r w:rsidRPr="00D900AC">
        <w:rPr>
          <w:rFonts w:cstheme="minorHAnsi"/>
          <w:szCs w:val="22"/>
        </w:rPr>
        <w:t xml:space="preserve"> sample analysis plans (SAPs) that operate underneath it. </w:t>
      </w:r>
    </w:p>
    <w:p w14:paraId="047D49B5" w14:textId="77777777" w:rsidR="00444A33" w:rsidRPr="00D900AC" w:rsidRDefault="00444A33" w:rsidP="00444A33">
      <w:pPr>
        <w:rPr>
          <w:rFonts w:cstheme="minorHAnsi"/>
          <w:szCs w:val="22"/>
        </w:rPr>
      </w:pPr>
    </w:p>
    <w:p w14:paraId="55815E73" w14:textId="77777777" w:rsidR="00444A33" w:rsidRPr="00D900AC" w:rsidRDefault="00444A33" w:rsidP="00444A33">
      <w:pPr>
        <w:rPr>
          <w:rFonts w:cstheme="minorHAnsi"/>
          <w:szCs w:val="22"/>
        </w:rPr>
      </w:pPr>
      <w:r w:rsidRPr="00D900AC">
        <w:rPr>
          <w:rFonts w:cstheme="minorHAnsi"/>
          <w:b/>
          <w:szCs w:val="22"/>
        </w:rPr>
        <w:t>Quality control (QC)</w:t>
      </w:r>
      <w:r w:rsidRPr="00D900AC">
        <w:rPr>
          <w:rFonts w:cstheme="minorHAnsi"/>
          <w:szCs w:val="22"/>
        </w:rPr>
        <w:t xml:space="preserve">. QC samples are the blank, duplicate and spike samples that are collected in the field and/or created in the lab for analysis to ensure the integrity of samples and the quality of the data produced by the lab. </w:t>
      </w:r>
    </w:p>
    <w:p w14:paraId="5F11365F" w14:textId="77777777" w:rsidR="00444A33" w:rsidRPr="00D900AC" w:rsidRDefault="00444A33" w:rsidP="00444A33">
      <w:pPr>
        <w:rPr>
          <w:rFonts w:cstheme="minorHAnsi"/>
          <w:szCs w:val="22"/>
        </w:rPr>
      </w:pPr>
    </w:p>
    <w:p w14:paraId="325FB720" w14:textId="77777777" w:rsidR="00444A33" w:rsidRPr="00D900AC" w:rsidRDefault="00444A33" w:rsidP="00444A33">
      <w:pPr>
        <w:rPr>
          <w:rFonts w:cstheme="minorHAnsi"/>
          <w:szCs w:val="22"/>
        </w:rPr>
      </w:pPr>
      <w:r w:rsidRPr="00D900AC">
        <w:rPr>
          <w:rFonts w:cstheme="minorHAnsi"/>
          <w:b/>
          <w:szCs w:val="22"/>
        </w:rPr>
        <w:t>Relative percent difference (RPD)</w:t>
      </w:r>
      <w:r w:rsidRPr="00D900AC">
        <w:rPr>
          <w:rFonts w:cstheme="minorHAnsi"/>
          <w:szCs w:val="22"/>
        </w:rPr>
        <w:t>. RPD is an alternative to standard deviation, expressed as a percentage and used to determine precision when only two measurement values are available. Calculated with the following formula: RPD as % = ((D1 – D2)</w:t>
      </w:r>
      <w:proofErr w:type="gramStart"/>
      <w:r w:rsidRPr="00D900AC">
        <w:rPr>
          <w:rFonts w:cstheme="minorHAnsi"/>
          <w:szCs w:val="22"/>
        </w:rPr>
        <w:t>/(</w:t>
      </w:r>
      <w:proofErr w:type="gramEnd"/>
      <w:r w:rsidRPr="00D900AC">
        <w:rPr>
          <w:rFonts w:cstheme="minorHAnsi"/>
          <w:szCs w:val="22"/>
        </w:rPr>
        <w:t xml:space="preserve">(D1 + D2)/2)) x 100 Where: D1 is first replicate result D2 is second replicate result </w:t>
      </w:r>
    </w:p>
    <w:p w14:paraId="1D010D96" w14:textId="77777777" w:rsidR="00444A33" w:rsidRPr="00D900AC" w:rsidRDefault="00444A33" w:rsidP="00444A33">
      <w:pPr>
        <w:rPr>
          <w:rFonts w:cstheme="minorHAnsi"/>
          <w:szCs w:val="22"/>
        </w:rPr>
      </w:pPr>
    </w:p>
    <w:p w14:paraId="4C72E77E" w14:textId="77777777" w:rsidR="00444A33" w:rsidRPr="00D900AC" w:rsidRDefault="00444A33" w:rsidP="00444A33">
      <w:pPr>
        <w:rPr>
          <w:rFonts w:cstheme="minorHAnsi"/>
          <w:szCs w:val="22"/>
        </w:rPr>
      </w:pPr>
      <w:r w:rsidRPr="00D900AC">
        <w:rPr>
          <w:rFonts w:cstheme="minorHAnsi"/>
          <w:b/>
          <w:szCs w:val="22"/>
        </w:rPr>
        <w:t>Replicate samples</w:t>
      </w:r>
      <w:r w:rsidRPr="00D900AC">
        <w:rPr>
          <w:rFonts w:cstheme="minorHAnsi"/>
          <w:szCs w:val="22"/>
        </w:rPr>
        <w:t xml:space="preserve">. See duplicate samples. </w:t>
      </w:r>
    </w:p>
    <w:p w14:paraId="6F27A8DC" w14:textId="77777777" w:rsidR="00444A33" w:rsidRPr="00D900AC" w:rsidRDefault="00444A33" w:rsidP="00444A33">
      <w:pPr>
        <w:rPr>
          <w:rFonts w:cstheme="minorHAnsi"/>
          <w:szCs w:val="22"/>
        </w:rPr>
      </w:pPr>
    </w:p>
    <w:p w14:paraId="5F85E2D3" w14:textId="77777777" w:rsidR="00444A33" w:rsidRPr="00D900AC" w:rsidRDefault="00444A33" w:rsidP="00444A33">
      <w:pPr>
        <w:rPr>
          <w:rFonts w:cstheme="minorHAnsi"/>
          <w:szCs w:val="22"/>
        </w:rPr>
      </w:pPr>
      <w:r w:rsidRPr="00D900AC">
        <w:rPr>
          <w:rFonts w:cstheme="minorHAnsi"/>
          <w:b/>
          <w:szCs w:val="22"/>
        </w:rPr>
        <w:lastRenderedPageBreak/>
        <w:t>Representativeness</w:t>
      </w:r>
      <w:r w:rsidRPr="00D900AC">
        <w:rPr>
          <w:rFonts w:cstheme="minorHAnsi"/>
          <w:szCs w:val="22"/>
        </w:rPr>
        <w:t xml:space="preserve">. A data quality indicator, representativeness is the degree to which data accurately and precisely portray the actual or true environmental condition measured. </w:t>
      </w:r>
    </w:p>
    <w:p w14:paraId="2E5BAFDD" w14:textId="77777777" w:rsidR="00444A33" w:rsidRPr="00D900AC" w:rsidRDefault="00444A33" w:rsidP="00444A33">
      <w:pPr>
        <w:rPr>
          <w:rFonts w:cstheme="minorHAnsi"/>
          <w:szCs w:val="22"/>
        </w:rPr>
      </w:pPr>
    </w:p>
    <w:p w14:paraId="0E768AC1" w14:textId="77777777" w:rsidR="00444A33" w:rsidRPr="00D900AC" w:rsidRDefault="00444A33" w:rsidP="00444A33">
      <w:pPr>
        <w:rPr>
          <w:rFonts w:cstheme="minorHAnsi"/>
          <w:szCs w:val="22"/>
        </w:rPr>
      </w:pPr>
      <w:r w:rsidRPr="00D900AC">
        <w:rPr>
          <w:rFonts w:cstheme="minorHAnsi"/>
          <w:b/>
          <w:szCs w:val="22"/>
        </w:rPr>
        <w:t>Sampling and Analysis Plan (SAP)</w:t>
      </w:r>
      <w:r w:rsidRPr="00D900AC">
        <w:rPr>
          <w:rFonts w:cstheme="minorHAnsi"/>
          <w:szCs w:val="22"/>
        </w:rPr>
        <w:t xml:space="preserve">. </w:t>
      </w:r>
      <w:proofErr w:type="gramStart"/>
      <w:r w:rsidRPr="00D900AC">
        <w:rPr>
          <w:rFonts w:cstheme="minorHAnsi"/>
          <w:szCs w:val="22"/>
        </w:rPr>
        <w:t>A</w:t>
      </w:r>
      <w:proofErr w:type="gramEnd"/>
      <w:r w:rsidRPr="00D900AC">
        <w:rPr>
          <w:rFonts w:cstheme="minorHAnsi"/>
          <w:szCs w:val="22"/>
        </w:rPr>
        <w:t xml:space="preserve"> SAP is a document outlining objectives, data collection schedule, methods and data quality assurance measures for a project. </w:t>
      </w:r>
    </w:p>
    <w:p w14:paraId="74B5BCF1" w14:textId="77777777" w:rsidR="00444A33" w:rsidRPr="00D900AC" w:rsidRDefault="00444A33" w:rsidP="00444A33">
      <w:pPr>
        <w:rPr>
          <w:rFonts w:cstheme="minorHAnsi"/>
          <w:szCs w:val="22"/>
        </w:rPr>
      </w:pPr>
    </w:p>
    <w:p w14:paraId="7B1E578B" w14:textId="77777777" w:rsidR="00444A33" w:rsidRPr="00D900AC" w:rsidRDefault="00444A33" w:rsidP="00444A33">
      <w:pPr>
        <w:rPr>
          <w:rFonts w:cstheme="minorHAnsi"/>
          <w:szCs w:val="22"/>
        </w:rPr>
      </w:pPr>
      <w:r w:rsidRPr="00D900AC">
        <w:rPr>
          <w:rFonts w:cstheme="minorHAnsi"/>
          <w:b/>
          <w:szCs w:val="22"/>
        </w:rPr>
        <w:t>Sensitivity</w:t>
      </w:r>
      <w:r w:rsidRPr="00D900AC">
        <w:rPr>
          <w:rFonts w:cstheme="minorHAnsi"/>
          <w:szCs w:val="22"/>
        </w:rPr>
        <w:t xml:space="preserve">. Related to detection limits, sensitivity refers to the capability of a method or instrument to discriminate between measurement responses representing different levels of a variable of interest. The more sensitive a method is, the better able it is to detect lower concentrations of a variable. </w:t>
      </w:r>
    </w:p>
    <w:p w14:paraId="56116236" w14:textId="77777777" w:rsidR="00444A33" w:rsidRPr="00D900AC" w:rsidRDefault="00444A33" w:rsidP="00444A33">
      <w:pPr>
        <w:rPr>
          <w:rFonts w:cstheme="minorHAnsi"/>
          <w:szCs w:val="22"/>
        </w:rPr>
      </w:pPr>
    </w:p>
    <w:p w14:paraId="73F18F0D" w14:textId="77777777" w:rsidR="00444A33" w:rsidRPr="00D900AC" w:rsidRDefault="00444A33" w:rsidP="00444A33">
      <w:pPr>
        <w:rPr>
          <w:rFonts w:cstheme="minorHAnsi"/>
          <w:szCs w:val="22"/>
        </w:rPr>
      </w:pPr>
      <w:r w:rsidRPr="00D900AC">
        <w:rPr>
          <w:rFonts w:cstheme="minorHAnsi"/>
          <w:b/>
          <w:szCs w:val="22"/>
        </w:rPr>
        <w:t>Spiked samples</w:t>
      </w:r>
      <w:r w:rsidRPr="00D900AC">
        <w:rPr>
          <w:rFonts w:cstheme="minorHAnsi"/>
          <w:szCs w:val="22"/>
        </w:rPr>
        <w:t xml:space="preserve">. Used for quality control purposes, a spiked sample is a sample to which a known concentration of the target analyte has been added. When analyzed, the difference between an environmental sample and the analyte’s concentration in a spiked sample should be equivalent to the amount added to the spiked sample. </w:t>
      </w:r>
    </w:p>
    <w:p w14:paraId="1509D2F9" w14:textId="77777777" w:rsidR="00444A33" w:rsidRPr="00D900AC" w:rsidRDefault="00444A33" w:rsidP="00444A33">
      <w:pPr>
        <w:rPr>
          <w:rFonts w:cstheme="minorHAnsi"/>
          <w:szCs w:val="22"/>
        </w:rPr>
      </w:pPr>
    </w:p>
    <w:p w14:paraId="34EF477D" w14:textId="77777777" w:rsidR="00444A33" w:rsidRPr="00D900AC" w:rsidRDefault="00444A33" w:rsidP="00444A33">
      <w:pPr>
        <w:rPr>
          <w:rFonts w:cstheme="minorHAnsi"/>
          <w:szCs w:val="22"/>
        </w:rPr>
      </w:pPr>
      <w:r w:rsidRPr="00D900AC">
        <w:rPr>
          <w:rFonts w:cstheme="minorHAnsi"/>
          <w:b/>
          <w:szCs w:val="22"/>
        </w:rPr>
        <w:t>Standard operating procedures (SOPs)</w:t>
      </w:r>
      <w:r w:rsidRPr="00D900AC">
        <w:rPr>
          <w:rFonts w:cstheme="minorHAnsi"/>
          <w:szCs w:val="22"/>
        </w:rPr>
        <w:t>. An SOP is a written document detailing the prescribed and established methods used for performing project operations, analyses, or actions.</w:t>
      </w:r>
    </w:p>
    <w:p w14:paraId="5CF71A55" w14:textId="77777777" w:rsidR="00444A33" w:rsidRPr="00444A33" w:rsidRDefault="00444A33" w:rsidP="00444A33"/>
    <w:bookmarkEnd w:id="112"/>
    <w:bookmarkEnd w:id="113"/>
    <w:bookmarkEnd w:id="114"/>
    <w:p w14:paraId="093B6780" w14:textId="0DFBF944" w:rsidR="00FA42E5" w:rsidRDefault="00FA42E5">
      <w:pPr>
        <w:rPr>
          <w:rFonts w:cstheme="minorHAnsi"/>
          <w:b/>
          <w:bCs/>
          <w:color w:val="808080" w:themeColor="background1" w:themeShade="80"/>
          <w:kern w:val="32"/>
          <w:sz w:val="32"/>
          <w:szCs w:val="32"/>
        </w:rPr>
      </w:pPr>
    </w:p>
    <w:sectPr w:rsidR="00FA42E5" w:rsidSect="00C6280D">
      <w:pgSz w:w="12240" w:h="15840"/>
      <w:pgMar w:top="1480" w:right="1300" w:bottom="1100" w:left="1340" w:header="576" w:footer="91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CED8B" w14:textId="77777777" w:rsidR="00A115BE" w:rsidRDefault="00A115BE">
      <w:r>
        <w:separator/>
      </w:r>
    </w:p>
  </w:endnote>
  <w:endnote w:type="continuationSeparator" w:id="0">
    <w:p w14:paraId="5841655D" w14:textId="77777777" w:rsidR="00A115BE" w:rsidRDefault="00A115BE">
      <w:r>
        <w:continuationSeparator/>
      </w:r>
    </w:p>
  </w:endnote>
  <w:endnote w:type="continuationNotice" w:id="1">
    <w:p w14:paraId="5BCAF3CE" w14:textId="77777777" w:rsidR="00A115BE" w:rsidRDefault="00A115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FKai-SB">
    <w:altName w:val="Microsoft YaHei"/>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4FA28" w14:textId="17252C20" w:rsidR="00E803CC" w:rsidRDefault="00E803CC">
    <w:pPr>
      <w:pStyle w:val="Footer"/>
      <w:jc w:val="right"/>
    </w:pPr>
  </w:p>
  <w:p w14:paraId="37231F5A" w14:textId="77777777" w:rsidR="00E803CC" w:rsidRDefault="00E803C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CFD7" w14:textId="1A73CDFA" w:rsidR="00E803CC" w:rsidRDefault="00E803CC" w:rsidP="00AC2081">
    <w:pPr>
      <w:pStyle w:val="Footer"/>
      <w:pBdr>
        <w:top w:val="single" w:sz="8" w:space="1" w:color="auto"/>
      </w:pBdr>
    </w:pPr>
    <w:r w:rsidRPr="00D0286D">
      <w:rPr>
        <w:szCs w:val="16"/>
      </w:rPr>
      <w:tab/>
      <w:t xml:space="preserve">Page </w:t>
    </w:r>
    <w:r w:rsidRPr="00D0286D">
      <w:rPr>
        <w:szCs w:val="16"/>
      </w:rPr>
      <w:fldChar w:fldCharType="begin"/>
    </w:r>
    <w:r w:rsidRPr="00D0286D">
      <w:rPr>
        <w:szCs w:val="16"/>
      </w:rPr>
      <w:instrText xml:space="preserve"> PAGE </w:instrText>
    </w:r>
    <w:r w:rsidRPr="00D0286D">
      <w:rPr>
        <w:szCs w:val="16"/>
      </w:rPr>
      <w:fldChar w:fldCharType="separate"/>
    </w:r>
    <w:r>
      <w:rPr>
        <w:noProof/>
        <w:szCs w:val="16"/>
      </w:rPr>
      <w:t>1</w:t>
    </w:r>
    <w:r w:rsidRPr="00D0286D">
      <w:rPr>
        <w:szCs w:val="16"/>
      </w:rPr>
      <w:fldChar w:fldCharType="end"/>
    </w:r>
    <w:r w:rsidRPr="00D0286D">
      <w:rPr>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81BBD" w14:textId="4AF771D5" w:rsidR="00E803CC" w:rsidRDefault="00E803CC">
    <w:pPr>
      <w:pStyle w:val="Footer"/>
      <w:jc w:val="right"/>
    </w:pPr>
    <w:r>
      <w:fldChar w:fldCharType="begin"/>
    </w:r>
    <w:r>
      <w:instrText xml:space="preserve"> PAGE   \* MERGEFORMAT </w:instrText>
    </w:r>
    <w:r>
      <w:fldChar w:fldCharType="separate"/>
    </w:r>
    <w:r>
      <w:rPr>
        <w:noProof/>
      </w:rPr>
      <w:t>4</w:t>
    </w:r>
    <w:r>
      <w:rPr>
        <w:noProof/>
      </w:rPr>
      <w:fldChar w:fldCharType="end"/>
    </w:r>
  </w:p>
  <w:p w14:paraId="1A4FDE84" w14:textId="77777777" w:rsidR="00E803CC" w:rsidRDefault="00E803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93537" w14:textId="77777777" w:rsidR="00A115BE" w:rsidRDefault="00A115BE">
      <w:r>
        <w:separator/>
      </w:r>
    </w:p>
  </w:footnote>
  <w:footnote w:type="continuationSeparator" w:id="0">
    <w:p w14:paraId="71F89800" w14:textId="77777777" w:rsidR="00A115BE" w:rsidRDefault="00A115BE">
      <w:r>
        <w:continuationSeparator/>
      </w:r>
    </w:p>
  </w:footnote>
  <w:footnote w:type="continuationNotice" w:id="1">
    <w:p w14:paraId="47943E64" w14:textId="77777777" w:rsidR="00A115BE" w:rsidRDefault="00A115B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472B3"/>
    <w:multiLevelType w:val="hybridMultilevel"/>
    <w:tmpl w:val="06AC4BD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0B031E30"/>
    <w:multiLevelType w:val="hybridMultilevel"/>
    <w:tmpl w:val="BB785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51E43"/>
    <w:multiLevelType w:val="hybridMultilevel"/>
    <w:tmpl w:val="82604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742854"/>
    <w:multiLevelType w:val="hybridMultilevel"/>
    <w:tmpl w:val="91107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E63EFC"/>
    <w:multiLevelType w:val="hybridMultilevel"/>
    <w:tmpl w:val="3AE60466"/>
    <w:lvl w:ilvl="0" w:tplc="AA68E26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F36344"/>
    <w:multiLevelType w:val="hybridMultilevel"/>
    <w:tmpl w:val="FA1A6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C64D61"/>
    <w:multiLevelType w:val="hybridMultilevel"/>
    <w:tmpl w:val="70F03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8D6868"/>
    <w:multiLevelType w:val="hybridMultilevel"/>
    <w:tmpl w:val="56FEA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814A26"/>
    <w:multiLevelType w:val="hybridMultilevel"/>
    <w:tmpl w:val="B1601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6B6DCF"/>
    <w:multiLevelType w:val="multilevel"/>
    <w:tmpl w:val="B4082F98"/>
    <w:lvl w:ilvl="0">
      <w:start w:val="2"/>
      <w:numFmt w:val="decimal"/>
      <w:lvlText w:val="%1"/>
      <w:lvlJc w:val="left"/>
      <w:pPr>
        <w:ind w:left="580" w:hanging="480"/>
      </w:pPr>
    </w:lvl>
    <w:lvl w:ilvl="1">
      <w:numFmt w:val="decimal"/>
      <w:lvlText w:val="%1.%2"/>
      <w:lvlJc w:val="left"/>
      <w:pPr>
        <w:ind w:left="580" w:hanging="480"/>
      </w:pPr>
      <w:rPr>
        <w:b/>
        <w:bCs/>
        <w:spacing w:val="-2"/>
        <w:w w:val="99"/>
      </w:rPr>
    </w:lvl>
    <w:lvl w:ilvl="2">
      <w:numFmt w:val="bullet"/>
      <w:lvlText w:val=""/>
      <w:lvlJc w:val="left"/>
      <w:pPr>
        <w:ind w:left="820" w:hanging="360"/>
      </w:pPr>
      <w:rPr>
        <w:rFonts w:ascii="Symbol" w:eastAsia="Symbol" w:hAnsi="Symbol" w:cs="Symbol" w:hint="default"/>
        <w:w w:val="100"/>
        <w:sz w:val="22"/>
        <w:szCs w:val="22"/>
      </w:rPr>
    </w:lvl>
    <w:lvl w:ilvl="3">
      <w:numFmt w:val="bullet"/>
      <w:lvlText w:val="•"/>
      <w:lvlJc w:val="left"/>
      <w:pPr>
        <w:ind w:left="2762" w:hanging="360"/>
      </w:pPr>
    </w:lvl>
    <w:lvl w:ilvl="4">
      <w:numFmt w:val="bullet"/>
      <w:lvlText w:val="•"/>
      <w:lvlJc w:val="left"/>
      <w:pPr>
        <w:ind w:left="3733" w:hanging="360"/>
      </w:pPr>
    </w:lvl>
    <w:lvl w:ilvl="5">
      <w:numFmt w:val="bullet"/>
      <w:lvlText w:val="•"/>
      <w:lvlJc w:val="left"/>
      <w:pPr>
        <w:ind w:left="4704" w:hanging="360"/>
      </w:pPr>
    </w:lvl>
    <w:lvl w:ilvl="6">
      <w:numFmt w:val="bullet"/>
      <w:lvlText w:val="•"/>
      <w:lvlJc w:val="left"/>
      <w:pPr>
        <w:ind w:left="5675" w:hanging="360"/>
      </w:pPr>
    </w:lvl>
    <w:lvl w:ilvl="7">
      <w:numFmt w:val="bullet"/>
      <w:lvlText w:val="•"/>
      <w:lvlJc w:val="left"/>
      <w:pPr>
        <w:ind w:left="6646" w:hanging="360"/>
      </w:pPr>
    </w:lvl>
    <w:lvl w:ilvl="8">
      <w:numFmt w:val="bullet"/>
      <w:lvlText w:val="•"/>
      <w:lvlJc w:val="left"/>
      <w:pPr>
        <w:ind w:left="7617" w:hanging="360"/>
      </w:pPr>
    </w:lvl>
  </w:abstractNum>
  <w:abstractNum w:abstractNumId="10" w15:restartNumberingAfterBreak="0">
    <w:nsid w:val="55B43487"/>
    <w:multiLevelType w:val="multilevel"/>
    <w:tmpl w:val="2416B97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ascii="Arial" w:hAnsi="Arial" w:hint="default"/>
        <w:b/>
        <w:i/>
        <w:sz w:val="20"/>
        <w:szCs w:val="2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57BA51FE"/>
    <w:multiLevelType w:val="hybridMultilevel"/>
    <w:tmpl w:val="AD5AD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D5026D"/>
    <w:multiLevelType w:val="hybridMultilevel"/>
    <w:tmpl w:val="8F8C6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1926BC"/>
    <w:multiLevelType w:val="hybridMultilevel"/>
    <w:tmpl w:val="78F49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B03017"/>
    <w:multiLevelType w:val="hybridMultilevel"/>
    <w:tmpl w:val="7A9C2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3A27CB"/>
    <w:multiLevelType w:val="hybridMultilevel"/>
    <w:tmpl w:val="A6ACB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B56A7F"/>
    <w:multiLevelType w:val="hybridMultilevel"/>
    <w:tmpl w:val="D4962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7B7CEE"/>
    <w:multiLevelType w:val="hybridMultilevel"/>
    <w:tmpl w:val="D3446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F350CE"/>
    <w:multiLevelType w:val="hybridMultilevel"/>
    <w:tmpl w:val="A5A2C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1614185">
    <w:abstractNumId w:val="10"/>
  </w:num>
  <w:num w:numId="2" w16cid:durableId="324213141">
    <w:abstractNumId w:val="4"/>
  </w:num>
  <w:num w:numId="3" w16cid:durableId="36978665">
    <w:abstractNumId w:val="2"/>
  </w:num>
  <w:num w:numId="4" w16cid:durableId="1670983117">
    <w:abstractNumId w:val="12"/>
  </w:num>
  <w:num w:numId="5" w16cid:durableId="1826243760">
    <w:abstractNumId w:val="16"/>
  </w:num>
  <w:num w:numId="6" w16cid:durableId="176577676">
    <w:abstractNumId w:val="1"/>
  </w:num>
  <w:num w:numId="7" w16cid:durableId="1424451920">
    <w:abstractNumId w:val="8"/>
  </w:num>
  <w:num w:numId="8" w16cid:durableId="531967057">
    <w:abstractNumId w:val="18"/>
  </w:num>
  <w:num w:numId="9" w16cid:durableId="554243420">
    <w:abstractNumId w:val="17"/>
  </w:num>
  <w:num w:numId="10" w16cid:durableId="36779355">
    <w:abstractNumId w:val="14"/>
  </w:num>
  <w:num w:numId="11" w16cid:durableId="378941581">
    <w:abstractNumId w:val="7"/>
  </w:num>
  <w:num w:numId="12" w16cid:durableId="1422876188">
    <w:abstractNumId w:val="13"/>
  </w:num>
  <w:num w:numId="13" w16cid:durableId="1608468471">
    <w:abstractNumId w:val="5"/>
  </w:num>
  <w:num w:numId="14" w16cid:durableId="194775257">
    <w:abstractNumId w:val="15"/>
  </w:num>
  <w:num w:numId="15" w16cid:durableId="1455516797">
    <w:abstractNumId w:val="6"/>
  </w:num>
  <w:num w:numId="16" w16cid:durableId="1192887261">
    <w:abstractNumId w:val="0"/>
  </w:num>
  <w:num w:numId="17" w16cid:durableId="1478113127">
    <w:abstractNumId w:val="11"/>
  </w:num>
  <w:num w:numId="18" w16cid:durableId="991787239">
    <w:abstractNumId w:val="9"/>
    <w:lvlOverride w:ilvl="0">
      <w:startOverride w:val="2"/>
    </w:lvlOverride>
    <w:lvlOverride w:ilvl="1"/>
    <w:lvlOverride w:ilvl="2"/>
    <w:lvlOverride w:ilvl="3"/>
    <w:lvlOverride w:ilvl="4"/>
    <w:lvlOverride w:ilvl="5"/>
    <w:lvlOverride w:ilvl="6"/>
    <w:lvlOverride w:ilvl="7"/>
    <w:lvlOverride w:ilvl="8"/>
  </w:num>
  <w:num w:numId="19" w16cid:durableId="1798177597">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3D7"/>
    <w:rsid w:val="00002DAB"/>
    <w:rsid w:val="0002023A"/>
    <w:rsid w:val="000221F2"/>
    <w:rsid w:val="0002334E"/>
    <w:rsid w:val="00027FFD"/>
    <w:rsid w:val="00030CB9"/>
    <w:rsid w:val="000369A5"/>
    <w:rsid w:val="00044016"/>
    <w:rsid w:val="000445F4"/>
    <w:rsid w:val="00046B77"/>
    <w:rsid w:val="0005009F"/>
    <w:rsid w:val="00055EBB"/>
    <w:rsid w:val="00057025"/>
    <w:rsid w:val="00061A63"/>
    <w:rsid w:val="0006269E"/>
    <w:rsid w:val="00072186"/>
    <w:rsid w:val="000749CA"/>
    <w:rsid w:val="00075EA5"/>
    <w:rsid w:val="000760FC"/>
    <w:rsid w:val="00081CFF"/>
    <w:rsid w:val="00084A0A"/>
    <w:rsid w:val="0008664E"/>
    <w:rsid w:val="00094526"/>
    <w:rsid w:val="000A2EBD"/>
    <w:rsid w:val="000A3463"/>
    <w:rsid w:val="000A46AC"/>
    <w:rsid w:val="000B12C2"/>
    <w:rsid w:val="000B1D6D"/>
    <w:rsid w:val="000B62F5"/>
    <w:rsid w:val="000B63B7"/>
    <w:rsid w:val="000B6B9A"/>
    <w:rsid w:val="000C439A"/>
    <w:rsid w:val="000C59C7"/>
    <w:rsid w:val="000C5A86"/>
    <w:rsid w:val="000C723D"/>
    <w:rsid w:val="000D0D03"/>
    <w:rsid w:val="000D2791"/>
    <w:rsid w:val="000D725C"/>
    <w:rsid w:val="000E0F38"/>
    <w:rsid w:val="000E32E1"/>
    <w:rsid w:val="000F75B5"/>
    <w:rsid w:val="0011037F"/>
    <w:rsid w:val="00110DC8"/>
    <w:rsid w:val="00114010"/>
    <w:rsid w:val="001239C7"/>
    <w:rsid w:val="00126B3D"/>
    <w:rsid w:val="00134DB6"/>
    <w:rsid w:val="001425B3"/>
    <w:rsid w:val="00144DDA"/>
    <w:rsid w:val="0016343F"/>
    <w:rsid w:val="00164C97"/>
    <w:rsid w:val="00170701"/>
    <w:rsid w:val="0017444E"/>
    <w:rsid w:val="0017783E"/>
    <w:rsid w:val="00181546"/>
    <w:rsid w:val="00181F35"/>
    <w:rsid w:val="00183F97"/>
    <w:rsid w:val="0018493F"/>
    <w:rsid w:val="0018631B"/>
    <w:rsid w:val="00190907"/>
    <w:rsid w:val="001916CA"/>
    <w:rsid w:val="001A4264"/>
    <w:rsid w:val="001B0E44"/>
    <w:rsid w:val="001B3C42"/>
    <w:rsid w:val="001B56E6"/>
    <w:rsid w:val="001B647C"/>
    <w:rsid w:val="001B6D5C"/>
    <w:rsid w:val="001C0460"/>
    <w:rsid w:val="001C07F7"/>
    <w:rsid w:val="001C2854"/>
    <w:rsid w:val="001C3187"/>
    <w:rsid w:val="001C422C"/>
    <w:rsid w:val="001C7BF2"/>
    <w:rsid w:val="001D0186"/>
    <w:rsid w:val="001D2FD7"/>
    <w:rsid w:val="001E12BC"/>
    <w:rsid w:val="001E4089"/>
    <w:rsid w:val="001F3079"/>
    <w:rsid w:val="001F38A2"/>
    <w:rsid w:val="00200BA2"/>
    <w:rsid w:val="0020795B"/>
    <w:rsid w:val="002119F6"/>
    <w:rsid w:val="00213556"/>
    <w:rsid w:val="00213CA7"/>
    <w:rsid w:val="00220F44"/>
    <w:rsid w:val="0022314E"/>
    <w:rsid w:val="002233DA"/>
    <w:rsid w:val="002243FE"/>
    <w:rsid w:val="00235F89"/>
    <w:rsid w:val="002364A0"/>
    <w:rsid w:val="00245044"/>
    <w:rsid w:val="00246684"/>
    <w:rsid w:val="002653E6"/>
    <w:rsid w:val="00267ACE"/>
    <w:rsid w:val="00277C3C"/>
    <w:rsid w:val="00280447"/>
    <w:rsid w:val="00280A19"/>
    <w:rsid w:val="00285415"/>
    <w:rsid w:val="002A02FA"/>
    <w:rsid w:val="002A03CC"/>
    <w:rsid w:val="002A2575"/>
    <w:rsid w:val="002A3C60"/>
    <w:rsid w:val="002A3DCC"/>
    <w:rsid w:val="002B0357"/>
    <w:rsid w:val="002B34E7"/>
    <w:rsid w:val="002B38F3"/>
    <w:rsid w:val="002B5047"/>
    <w:rsid w:val="002B62A9"/>
    <w:rsid w:val="002C329A"/>
    <w:rsid w:val="002C3F22"/>
    <w:rsid w:val="002C416F"/>
    <w:rsid w:val="002E1C65"/>
    <w:rsid w:val="002E63A7"/>
    <w:rsid w:val="002E748E"/>
    <w:rsid w:val="002F29A5"/>
    <w:rsid w:val="00302EFA"/>
    <w:rsid w:val="0030578D"/>
    <w:rsid w:val="0030799A"/>
    <w:rsid w:val="003116A4"/>
    <w:rsid w:val="00312975"/>
    <w:rsid w:val="00316D47"/>
    <w:rsid w:val="00317F0F"/>
    <w:rsid w:val="003224F9"/>
    <w:rsid w:val="00323AB9"/>
    <w:rsid w:val="003250CB"/>
    <w:rsid w:val="00327BCF"/>
    <w:rsid w:val="0033411B"/>
    <w:rsid w:val="00335E86"/>
    <w:rsid w:val="003365D1"/>
    <w:rsid w:val="0033703D"/>
    <w:rsid w:val="00340991"/>
    <w:rsid w:val="00343E17"/>
    <w:rsid w:val="003506A5"/>
    <w:rsid w:val="00350C81"/>
    <w:rsid w:val="00366D4F"/>
    <w:rsid w:val="00371203"/>
    <w:rsid w:val="00372078"/>
    <w:rsid w:val="00373F34"/>
    <w:rsid w:val="0037659F"/>
    <w:rsid w:val="00385BAB"/>
    <w:rsid w:val="00385CA0"/>
    <w:rsid w:val="00397442"/>
    <w:rsid w:val="003A1B39"/>
    <w:rsid w:val="003B0538"/>
    <w:rsid w:val="003B10D0"/>
    <w:rsid w:val="003B1755"/>
    <w:rsid w:val="003C3277"/>
    <w:rsid w:val="003C4C0E"/>
    <w:rsid w:val="003C69C1"/>
    <w:rsid w:val="003E2E14"/>
    <w:rsid w:val="003E53B8"/>
    <w:rsid w:val="003E63E4"/>
    <w:rsid w:val="003F2AAD"/>
    <w:rsid w:val="003F4FBD"/>
    <w:rsid w:val="003F565B"/>
    <w:rsid w:val="003F6B66"/>
    <w:rsid w:val="003F7319"/>
    <w:rsid w:val="003F7FDF"/>
    <w:rsid w:val="00401382"/>
    <w:rsid w:val="004016CD"/>
    <w:rsid w:val="00402786"/>
    <w:rsid w:val="00405C2B"/>
    <w:rsid w:val="00412282"/>
    <w:rsid w:val="00417337"/>
    <w:rsid w:val="0042054D"/>
    <w:rsid w:val="00426097"/>
    <w:rsid w:val="004263D6"/>
    <w:rsid w:val="00430EBF"/>
    <w:rsid w:val="0044100C"/>
    <w:rsid w:val="0044102F"/>
    <w:rsid w:val="00442D7E"/>
    <w:rsid w:val="00444A33"/>
    <w:rsid w:val="00450CA2"/>
    <w:rsid w:val="00453FAE"/>
    <w:rsid w:val="00454F65"/>
    <w:rsid w:val="00457640"/>
    <w:rsid w:val="00457A23"/>
    <w:rsid w:val="0046417A"/>
    <w:rsid w:val="00465FCF"/>
    <w:rsid w:val="00466731"/>
    <w:rsid w:val="0047046C"/>
    <w:rsid w:val="00470F34"/>
    <w:rsid w:val="00472B37"/>
    <w:rsid w:val="00491FC9"/>
    <w:rsid w:val="004948C1"/>
    <w:rsid w:val="004961AF"/>
    <w:rsid w:val="004A0A4A"/>
    <w:rsid w:val="004A5D2E"/>
    <w:rsid w:val="004A62B4"/>
    <w:rsid w:val="004A6604"/>
    <w:rsid w:val="004B0A25"/>
    <w:rsid w:val="004B231E"/>
    <w:rsid w:val="004B3DA8"/>
    <w:rsid w:val="004B41B5"/>
    <w:rsid w:val="004C0C48"/>
    <w:rsid w:val="004C7A31"/>
    <w:rsid w:val="004D1B93"/>
    <w:rsid w:val="004D28AA"/>
    <w:rsid w:val="004D58B7"/>
    <w:rsid w:val="004D5D99"/>
    <w:rsid w:val="004D75EC"/>
    <w:rsid w:val="004F5F6C"/>
    <w:rsid w:val="004F70B7"/>
    <w:rsid w:val="004F7321"/>
    <w:rsid w:val="004F7339"/>
    <w:rsid w:val="004F7FD8"/>
    <w:rsid w:val="00501E58"/>
    <w:rsid w:val="00504DFD"/>
    <w:rsid w:val="00505665"/>
    <w:rsid w:val="00510DE1"/>
    <w:rsid w:val="00512979"/>
    <w:rsid w:val="005130EB"/>
    <w:rsid w:val="00514748"/>
    <w:rsid w:val="00515915"/>
    <w:rsid w:val="00517080"/>
    <w:rsid w:val="005216CE"/>
    <w:rsid w:val="00521C1A"/>
    <w:rsid w:val="005220F9"/>
    <w:rsid w:val="005229BE"/>
    <w:rsid w:val="00524D4C"/>
    <w:rsid w:val="0053021D"/>
    <w:rsid w:val="00534DDC"/>
    <w:rsid w:val="0054109F"/>
    <w:rsid w:val="00545C8D"/>
    <w:rsid w:val="0054718C"/>
    <w:rsid w:val="00552E00"/>
    <w:rsid w:val="00553FF5"/>
    <w:rsid w:val="005604DF"/>
    <w:rsid w:val="00560F8E"/>
    <w:rsid w:val="00563AC2"/>
    <w:rsid w:val="005640E4"/>
    <w:rsid w:val="0058042B"/>
    <w:rsid w:val="0058077E"/>
    <w:rsid w:val="00580B51"/>
    <w:rsid w:val="00584BED"/>
    <w:rsid w:val="0058523B"/>
    <w:rsid w:val="00585CFA"/>
    <w:rsid w:val="00586127"/>
    <w:rsid w:val="00592A16"/>
    <w:rsid w:val="00595042"/>
    <w:rsid w:val="0059571D"/>
    <w:rsid w:val="00595859"/>
    <w:rsid w:val="00597C6A"/>
    <w:rsid w:val="00597DE1"/>
    <w:rsid w:val="005A007C"/>
    <w:rsid w:val="005A3140"/>
    <w:rsid w:val="005B3769"/>
    <w:rsid w:val="005B393B"/>
    <w:rsid w:val="005B437B"/>
    <w:rsid w:val="005C30B3"/>
    <w:rsid w:val="005C58BA"/>
    <w:rsid w:val="005D1ABA"/>
    <w:rsid w:val="005D22B0"/>
    <w:rsid w:val="005D2EDF"/>
    <w:rsid w:val="005D5460"/>
    <w:rsid w:val="005D7A73"/>
    <w:rsid w:val="005E463D"/>
    <w:rsid w:val="005E49F2"/>
    <w:rsid w:val="005E7C6E"/>
    <w:rsid w:val="005F04EC"/>
    <w:rsid w:val="005F064D"/>
    <w:rsid w:val="005F1B8B"/>
    <w:rsid w:val="005F3CA6"/>
    <w:rsid w:val="005F6F29"/>
    <w:rsid w:val="00603289"/>
    <w:rsid w:val="0060354D"/>
    <w:rsid w:val="00610703"/>
    <w:rsid w:val="00610EE6"/>
    <w:rsid w:val="006133F4"/>
    <w:rsid w:val="00614433"/>
    <w:rsid w:val="00615ED6"/>
    <w:rsid w:val="006167CA"/>
    <w:rsid w:val="00620053"/>
    <w:rsid w:val="006328E2"/>
    <w:rsid w:val="006345C7"/>
    <w:rsid w:val="00634B50"/>
    <w:rsid w:val="00634F72"/>
    <w:rsid w:val="006518E3"/>
    <w:rsid w:val="00651D66"/>
    <w:rsid w:val="006577D2"/>
    <w:rsid w:val="00660986"/>
    <w:rsid w:val="00661C26"/>
    <w:rsid w:val="0066415C"/>
    <w:rsid w:val="00667BF6"/>
    <w:rsid w:val="00670140"/>
    <w:rsid w:val="00670862"/>
    <w:rsid w:val="00672C2C"/>
    <w:rsid w:val="006752A0"/>
    <w:rsid w:val="0067616A"/>
    <w:rsid w:val="00677D32"/>
    <w:rsid w:val="0068123A"/>
    <w:rsid w:val="00682640"/>
    <w:rsid w:val="006829E9"/>
    <w:rsid w:val="00685664"/>
    <w:rsid w:val="0069046E"/>
    <w:rsid w:val="0069162F"/>
    <w:rsid w:val="006A0645"/>
    <w:rsid w:val="006A2965"/>
    <w:rsid w:val="006A685F"/>
    <w:rsid w:val="006A7672"/>
    <w:rsid w:val="006B2F60"/>
    <w:rsid w:val="006B537C"/>
    <w:rsid w:val="006C4DB3"/>
    <w:rsid w:val="006C5D34"/>
    <w:rsid w:val="006C6199"/>
    <w:rsid w:val="006D4C8B"/>
    <w:rsid w:val="006D5701"/>
    <w:rsid w:val="006D6A85"/>
    <w:rsid w:val="006E2CE4"/>
    <w:rsid w:val="006E48E1"/>
    <w:rsid w:val="006F07C5"/>
    <w:rsid w:val="006F4E64"/>
    <w:rsid w:val="006F64CB"/>
    <w:rsid w:val="00700603"/>
    <w:rsid w:val="00706618"/>
    <w:rsid w:val="0071196D"/>
    <w:rsid w:val="00715974"/>
    <w:rsid w:val="007159AA"/>
    <w:rsid w:val="0071644B"/>
    <w:rsid w:val="00720BB3"/>
    <w:rsid w:val="007222D7"/>
    <w:rsid w:val="00722607"/>
    <w:rsid w:val="00727ADF"/>
    <w:rsid w:val="00730F04"/>
    <w:rsid w:val="00736529"/>
    <w:rsid w:val="00741441"/>
    <w:rsid w:val="007458DB"/>
    <w:rsid w:val="00745D51"/>
    <w:rsid w:val="00763E1F"/>
    <w:rsid w:val="0076559E"/>
    <w:rsid w:val="00765924"/>
    <w:rsid w:val="00766121"/>
    <w:rsid w:val="007670FB"/>
    <w:rsid w:val="0077067D"/>
    <w:rsid w:val="0077463E"/>
    <w:rsid w:val="00774B7C"/>
    <w:rsid w:val="0077538C"/>
    <w:rsid w:val="00775A44"/>
    <w:rsid w:val="007775EC"/>
    <w:rsid w:val="00781CA0"/>
    <w:rsid w:val="00782B6E"/>
    <w:rsid w:val="00784543"/>
    <w:rsid w:val="007851CB"/>
    <w:rsid w:val="0078549F"/>
    <w:rsid w:val="00785DDA"/>
    <w:rsid w:val="007939D7"/>
    <w:rsid w:val="0079549A"/>
    <w:rsid w:val="00795F80"/>
    <w:rsid w:val="00796197"/>
    <w:rsid w:val="007A2B9F"/>
    <w:rsid w:val="007A43B8"/>
    <w:rsid w:val="007A740E"/>
    <w:rsid w:val="007A7C38"/>
    <w:rsid w:val="007B0E0D"/>
    <w:rsid w:val="007B39CD"/>
    <w:rsid w:val="007B6F56"/>
    <w:rsid w:val="007C148B"/>
    <w:rsid w:val="007C1D23"/>
    <w:rsid w:val="007C36D9"/>
    <w:rsid w:val="007C4519"/>
    <w:rsid w:val="007C4D14"/>
    <w:rsid w:val="007C6D3F"/>
    <w:rsid w:val="007D2508"/>
    <w:rsid w:val="007D2559"/>
    <w:rsid w:val="007D5A4D"/>
    <w:rsid w:val="007D6CBD"/>
    <w:rsid w:val="007E0B7F"/>
    <w:rsid w:val="007E4CEA"/>
    <w:rsid w:val="007F0268"/>
    <w:rsid w:val="007F1B67"/>
    <w:rsid w:val="007F322D"/>
    <w:rsid w:val="007F39C5"/>
    <w:rsid w:val="007F6CEE"/>
    <w:rsid w:val="007F717E"/>
    <w:rsid w:val="007F770C"/>
    <w:rsid w:val="00800C01"/>
    <w:rsid w:val="0080283B"/>
    <w:rsid w:val="00804E31"/>
    <w:rsid w:val="00812575"/>
    <w:rsid w:val="008140BC"/>
    <w:rsid w:val="008169C5"/>
    <w:rsid w:val="00817B0D"/>
    <w:rsid w:val="0082154A"/>
    <w:rsid w:val="00823233"/>
    <w:rsid w:val="0082434D"/>
    <w:rsid w:val="00824486"/>
    <w:rsid w:val="008252D2"/>
    <w:rsid w:val="008269A3"/>
    <w:rsid w:val="00826EE0"/>
    <w:rsid w:val="00827033"/>
    <w:rsid w:val="00831E0C"/>
    <w:rsid w:val="00840CF7"/>
    <w:rsid w:val="008441C8"/>
    <w:rsid w:val="00844792"/>
    <w:rsid w:val="008450B8"/>
    <w:rsid w:val="008578F7"/>
    <w:rsid w:val="00857BEB"/>
    <w:rsid w:val="00857FF2"/>
    <w:rsid w:val="00862589"/>
    <w:rsid w:val="0086464D"/>
    <w:rsid w:val="0087161F"/>
    <w:rsid w:val="00872AD1"/>
    <w:rsid w:val="00882E86"/>
    <w:rsid w:val="00883A6C"/>
    <w:rsid w:val="008862B6"/>
    <w:rsid w:val="00886ED8"/>
    <w:rsid w:val="008870E2"/>
    <w:rsid w:val="00887E73"/>
    <w:rsid w:val="008900CD"/>
    <w:rsid w:val="00891389"/>
    <w:rsid w:val="008A4344"/>
    <w:rsid w:val="008A6DA7"/>
    <w:rsid w:val="008B3A3D"/>
    <w:rsid w:val="008B47BD"/>
    <w:rsid w:val="008B5A63"/>
    <w:rsid w:val="008B7288"/>
    <w:rsid w:val="008B7632"/>
    <w:rsid w:val="008B7F30"/>
    <w:rsid w:val="008C0880"/>
    <w:rsid w:val="008D2AE2"/>
    <w:rsid w:val="008D33E7"/>
    <w:rsid w:val="008D54AC"/>
    <w:rsid w:val="008E346A"/>
    <w:rsid w:val="008E42C3"/>
    <w:rsid w:val="008E4996"/>
    <w:rsid w:val="008E4E24"/>
    <w:rsid w:val="008E573C"/>
    <w:rsid w:val="008E7334"/>
    <w:rsid w:val="008F0FAB"/>
    <w:rsid w:val="008F27AF"/>
    <w:rsid w:val="008F3B64"/>
    <w:rsid w:val="008F4E76"/>
    <w:rsid w:val="00901B33"/>
    <w:rsid w:val="00905954"/>
    <w:rsid w:val="0090779E"/>
    <w:rsid w:val="0091026A"/>
    <w:rsid w:val="00911877"/>
    <w:rsid w:val="00912BAD"/>
    <w:rsid w:val="00913639"/>
    <w:rsid w:val="00915356"/>
    <w:rsid w:val="00920524"/>
    <w:rsid w:val="00920CC9"/>
    <w:rsid w:val="00920FC9"/>
    <w:rsid w:val="009210C0"/>
    <w:rsid w:val="00923E70"/>
    <w:rsid w:val="00926324"/>
    <w:rsid w:val="009314D8"/>
    <w:rsid w:val="0093221D"/>
    <w:rsid w:val="0093361A"/>
    <w:rsid w:val="00937BB5"/>
    <w:rsid w:val="0094097E"/>
    <w:rsid w:val="00947C98"/>
    <w:rsid w:val="00955DDB"/>
    <w:rsid w:val="00966396"/>
    <w:rsid w:val="00975621"/>
    <w:rsid w:val="00976B1D"/>
    <w:rsid w:val="00976E82"/>
    <w:rsid w:val="00982261"/>
    <w:rsid w:val="009961D8"/>
    <w:rsid w:val="00996257"/>
    <w:rsid w:val="00997346"/>
    <w:rsid w:val="009A37EB"/>
    <w:rsid w:val="009A557F"/>
    <w:rsid w:val="009A74C7"/>
    <w:rsid w:val="009B3B7B"/>
    <w:rsid w:val="009B69D0"/>
    <w:rsid w:val="009C3181"/>
    <w:rsid w:val="009D2B09"/>
    <w:rsid w:val="009D5DB8"/>
    <w:rsid w:val="009E5FFC"/>
    <w:rsid w:val="009F0F45"/>
    <w:rsid w:val="009F5F16"/>
    <w:rsid w:val="00A02196"/>
    <w:rsid w:val="00A02467"/>
    <w:rsid w:val="00A076FB"/>
    <w:rsid w:val="00A115BE"/>
    <w:rsid w:val="00A12819"/>
    <w:rsid w:val="00A12BD5"/>
    <w:rsid w:val="00A12EE1"/>
    <w:rsid w:val="00A1304C"/>
    <w:rsid w:val="00A15301"/>
    <w:rsid w:val="00A1653C"/>
    <w:rsid w:val="00A17927"/>
    <w:rsid w:val="00A23578"/>
    <w:rsid w:val="00A3426B"/>
    <w:rsid w:val="00A414C0"/>
    <w:rsid w:val="00A61A3E"/>
    <w:rsid w:val="00A721F8"/>
    <w:rsid w:val="00A755C6"/>
    <w:rsid w:val="00A77AAC"/>
    <w:rsid w:val="00A91A7C"/>
    <w:rsid w:val="00AA291A"/>
    <w:rsid w:val="00AA6A1E"/>
    <w:rsid w:val="00AB411A"/>
    <w:rsid w:val="00AC0DED"/>
    <w:rsid w:val="00AC2081"/>
    <w:rsid w:val="00AC6B23"/>
    <w:rsid w:val="00AC6C21"/>
    <w:rsid w:val="00AD1F30"/>
    <w:rsid w:val="00AD2EC2"/>
    <w:rsid w:val="00AD4A46"/>
    <w:rsid w:val="00AD6E74"/>
    <w:rsid w:val="00AD7753"/>
    <w:rsid w:val="00AE13B1"/>
    <w:rsid w:val="00AE310C"/>
    <w:rsid w:val="00AE42FD"/>
    <w:rsid w:val="00AF6FF0"/>
    <w:rsid w:val="00AF727C"/>
    <w:rsid w:val="00B00281"/>
    <w:rsid w:val="00B02175"/>
    <w:rsid w:val="00B04559"/>
    <w:rsid w:val="00B06732"/>
    <w:rsid w:val="00B22153"/>
    <w:rsid w:val="00B23A9D"/>
    <w:rsid w:val="00B26B90"/>
    <w:rsid w:val="00B2738B"/>
    <w:rsid w:val="00B3566A"/>
    <w:rsid w:val="00B364AF"/>
    <w:rsid w:val="00B411D3"/>
    <w:rsid w:val="00B4696C"/>
    <w:rsid w:val="00B46BDD"/>
    <w:rsid w:val="00B47A35"/>
    <w:rsid w:val="00B47F3D"/>
    <w:rsid w:val="00B60077"/>
    <w:rsid w:val="00B60F21"/>
    <w:rsid w:val="00B61DC6"/>
    <w:rsid w:val="00B64231"/>
    <w:rsid w:val="00B648F7"/>
    <w:rsid w:val="00B653B8"/>
    <w:rsid w:val="00B66F8C"/>
    <w:rsid w:val="00B7037D"/>
    <w:rsid w:val="00B8431A"/>
    <w:rsid w:val="00B84FD5"/>
    <w:rsid w:val="00B85138"/>
    <w:rsid w:val="00B868E9"/>
    <w:rsid w:val="00B869DC"/>
    <w:rsid w:val="00B94BFB"/>
    <w:rsid w:val="00B97E98"/>
    <w:rsid w:val="00BA1D24"/>
    <w:rsid w:val="00BA35F4"/>
    <w:rsid w:val="00BA3672"/>
    <w:rsid w:val="00BA36BC"/>
    <w:rsid w:val="00BA4239"/>
    <w:rsid w:val="00BA5D24"/>
    <w:rsid w:val="00BA69CA"/>
    <w:rsid w:val="00BA7FC6"/>
    <w:rsid w:val="00BB2B83"/>
    <w:rsid w:val="00BB7F9C"/>
    <w:rsid w:val="00BC5211"/>
    <w:rsid w:val="00BC6DFB"/>
    <w:rsid w:val="00BC7F27"/>
    <w:rsid w:val="00BD013F"/>
    <w:rsid w:val="00BD12A9"/>
    <w:rsid w:val="00BD442E"/>
    <w:rsid w:val="00BD479C"/>
    <w:rsid w:val="00BF7433"/>
    <w:rsid w:val="00C010FA"/>
    <w:rsid w:val="00C04070"/>
    <w:rsid w:val="00C04890"/>
    <w:rsid w:val="00C11CE0"/>
    <w:rsid w:val="00C12A14"/>
    <w:rsid w:val="00C144EE"/>
    <w:rsid w:val="00C15B2B"/>
    <w:rsid w:val="00C221C8"/>
    <w:rsid w:val="00C24936"/>
    <w:rsid w:val="00C259CE"/>
    <w:rsid w:val="00C360EA"/>
    <w:rsid w:val="00C419E0"/>
    <w:rsid w:val="00C433BA"/>
    <w:rsid w:val="00C45A9F"/>
    <w:rsid w:val="00C46A10"/>
    <w:rsid w:val="00C53BEB"/>
    <w:rsid w:val="00C5400E"/>
    <w:rsid w:val="00C5517C"/>
    <w:rsid w:val="00C569CD"/>
    <w:rsid w:val="00C6256A"/>
    <w:rsid w:val="00C6280D"/>
    <w:rsid w:val="00C63716"/>
    <w:rsid w:val="00C6468D"/>
    <w:rsid w:val="00C669EF"/>
    <w:rsid w:val="00C70AE3"/>
    <w:rsid w:val="00C70E7A"/>
    <w:rsid w:val="00C7271C"/>
    <w:rsid w:val="00C8154D"/>
    <w:rsid w:val="00C84DEB"/>
    <w:rsid w:val="00C85899"/>
    <w:rsid w:val="00C8711E"/>
    <w:rsid w:val="00C87FCF"/>
    <w:rsid w:val="00C91A16"/>
    <w:rsid w:val="00CA3B6B"/>
    <w:rsid w:val="00CA6711"/>
    <w:rsid w:val="00CB12FA"/>
    <w:rsid w:val="00CB3A7F"/>
    <w:rsid w:val="00CB51A5"/>
    <w:rsid w:val="00CB6B30"/>
    <w:rsid w:val="00CB7CC9"/>
    <w:rsid w:val="00CC2727"/>
    <w:rsid w:val="00CC6C08"/>
    <w:rsid w:val="00CD03B9"/>
    <w:rsid w:val="00CD18C0"/>
    <w:rsid w:val="00CD2F0E"/>
    <w:rsid w:val="00CD7B1E"/>
    <w:rsid w:val="00CE1739"/>
    <w:rsid w:val="00CE3BAD"/>
    <w:rsid w:val="00CE3D8D"/>
    <w:rsid w:val="00CF1389"/>
    <w:rsid w:val="00CF1EDC"/>
    <w:rsid w:val="00CF26D5"/>
    <w:rsid w:val="00CF56FB"/>
    <w:rsid w:val="00D00F3F"/>
    <w:rsid w:val="00D0311E"/>
    <w:rsid w:val="00D05798"/>
    <w:rsid w:val="00D16A13"/>
    <w:rsid w:val="00D223B7"/>
    <w:rsid w:val="00D23229"/>
    <w:rsid w:val="00D24859"/>
    <w:rsid w:val="00D26A47"/>
    <w:rsid w:val="00D33EFF"/>
    <w:rsid w:val="00D35E60"/>
    <w:rsid w:val="00D41279"/>
    <w:rsid w:val="00D4292B"/>
    <w:rsid w:val="00D45A9C"/>
    <w:rsid w:val="00D46839"/>
    <w:rsid w:val="00D472F5"/>
    <w:rsid w:val="00D50DB5"/>
    <w:rsid w:val="00D57E02"/>
    <w:rsid w:val="00D61497"/>
    <w:rsid w:val="00D706B0"/>
    <w:rsid w:val="00D7330E"/>
    <w:rsid w:val="00D76268"/>
    <w:rsid w:val="00D85415"/>
    <w:rsid w:val="00D87908"/>
    <w:rsid w:val="00D900AC"/>
    <w:rsid w:val="00DA2E7D"/>
    <w:rsid w:val="00DA2EC9"/>
    <w:rsid w:val="00DA3CAB"/>
    <w:rsid w:val="00DA613B"/>
    <w:rsid w:val="00DA6C36"/>
    <w:rsid w:val="00DA7B7B"/>
    <w:rsid w:val="00DA7DB8"/>
    <w:rsid w:val="00DB072D"/>
    <w:rsid w:val="00DB7F9E"/>
    <w:rsid w:val="00DC7CF5"/>
    <w:rsid w:val="00DD1A9A"/>
    <w:rsid w:val="00DD211D"/>
    <w:rsid w:val="00DD6FA9"/>
    <w:rsid w:val="00DE718F"/>
    <w:rsid w:val="00DF0481"/>
    <w:rsid w:val="00DF12E0"/>
    <w:rsid w:val="00DF1B4E"/>
    <w:rsid w:val="00DF34F8"/>
    <w:rsid w:val="00DF4AB7"/>
    <w:rsid w:val="00DF5190"/>
    <w:rsid w:val="00E019B4"/>
    <w:rsid w:val="00E03307"/>
    <w:rsid w:val="00E04899"/>
    <w:rsid w:val="00E073DA"/>
    <w:rsid w:val="00E100E2"/>
    <w:rsid w:val="00E14DF7"/>
    <w:rsid w:val="00E16454"/>
    <w:rsid w:val="00E1668C"/>
    <w:rsid w:val="00E22243"/>
    <w:rsid w:val="00E23416"/>
    <w:rsid w:val="00E2643E"/>
    <w:rsid w:val="00E3557A"/>
    <w:rsid w:val="00E356FC"/>
    <w:rsid w:val="00E3742A"/>
    <w:rsid w:val="00E45B61"/>
    <w:rsid w:val="00E5092A"/>
    <w:rsid w:val="00E51F4C"/>
    <w:rsid w:val="00E5559A"/>
    <w:rsid w:val="00E57831"/>
    <w:rsid w:val="00E60507"/>
    <w:rsid w:val="00E60B6B"/>
    <w:rsid w:val="00E70B5C"/>
    <w:rsid w:val="00E71B09"/>
    <w:rsid w:val="00E71B35"/>
    <w:rsid w:val="00E72364"/>
    <w:rsid w:val="00E7589F"/>
    <w:rsid w:val="00E772F6"/>
    <w:rsid w:val="00E803CC"/>
    <w:rsid w:val="00E8572B"/>
    <w:rsid w:val="00E9256F"/>
    <w:rsid w:val="00E93DE1"/>
    <w:rsid w:val="00E95135"/>
    <w:rsid w:val="00E9598A"/>
    <w:rsid w:val="00E959E3"/>
    <w:rsid w:val="00EA09EC"/>
    <w:rsid w:val="00EA12B4"/>
    <w:rsid w:val="00EA1BE5"/>
    <w:rsid w:val="00EA4E60"/>
    <w:rsid w:val="00EB1A2C"/>
    <w:rsid w:val="00EC251E"/>
    <w:rsid w:val="00EC3B8F"/>
    <w:rsid w:val="00EC496B"/>
    <w:rsid w:val="00EC50E5"/>
    <w:rsid w:val="00EC668F"/>
    <w:rsid w:val="00EC7CC6"/>
    <w:rsid w:val="00ED4C0A"/>
    <w:rsid w:val="00ED619E"/>
    <w:rsid w:val="00ED7230"/>
    <w:rsid w:val="00EE0B9D"/>
    <w:rsid w:val="00EE36D9"/>
    <w:rsid w:val="00EE7BB5"/>
    <w:rsid w:val="00EF3E78"/>
    <w:rsid w:val="00EF7C96"/>
    <w:rsid w:val="00F002BB"/>
    <w:rsid w:val="00F00DEA"/>
    <w:rsid w:val="00F02FED"/>
    <w:rsid w:val="00F04062"/>
    <w:rsid w:val="00F04DAF"/>
    <w:rsid w:val="00F12D31"/>
    <w:rsid w:val="00F13296"/>
    <w:rsid w:val="00F135CD"/>
    <w:rsid w:val="00F25C9E"/>
    <w:rsid w:val="00F26F86"/>
    <w:rsid w:val="00F304CB"/>
    <w:rsid w:val="00F329AD"/>
    <w:rsid w:val="00F4144D"/>
    <w:rsid w:val="00F43FE8"/>
    <w:rsid w:val="00F440DD"/>
    <w:rsid w:val="00F45633"/>
    <w:rsid w:val="00F45E2B"/>
    <w:rsid w:val="00F52A0E"/>
    <w:rsid w:val="00F52C28"/>
    <w:rsid w:val="00F53977"/>
    <w:rsid w:val="00F56197"/>
    <w:rsid w:val="00F56475"/>
    <w:rsid w:val="00F57E7F"/>
    <w:rsid w:val="00F60559"/>
    <w:rsid w:val="00F61CCD"/>
    <w:rsid w:val="00F67640"/>
    <w:rsid w:val="00F73E8E"/>
    <w:rsid w:val="00F74B9C"/>
    <w:rsid w:val="00F753E0"/>
    <w:rsid w:val="00F7588A"/>
    <w:rsid w:val="00F80E71"/>
    <w:rsid w:val="00F81797"/>
    <w:rsid w:val="00F81A8C"/>
    <w:rsid w:val="00F90E14"/>
    <w:rsid w:val="00F95015"/>
    <w:rsid w:val="00FA13D7"/>
    <w:rsid w:val="00FA37BC"/>
    <w:rsid w:val="00FA42E5"/>
    <w:rsid w:val="00FA4529"/>
    <w:rsid w:val="00FB11F5"/>
    <w:rsid w:val="00FB215C"/>
    <w:rsid w:val="00FB284E"/>
    <w:rsid w:val="00FB2D91"/>
    <w:rsid w:val="00FB51DC"/>
    <w:rsid w:val="00FB5CCF"/>
    <w:rsid w:val="00FC0894"/>
    <w:rsid w:val="00FC2492"/>
    <w:rsid w:val="00FC5785"/>
    <w:rsid w:val="00FD4C72"/>
    <w:rsid w:val="00FE1D09"/>
    <w:rsid w:val="00FE3A79"/>
    <w:rsid w:val="00FF1895"/>
    <w:rsid w:val="00FF6D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FD2B395"/>
  <w15:docId w15:val="{A1C757B3-2B92-443F-9201-51AB9669D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5F6C"/>
    <w:rPr>
      <w:rFonts w:asciiTheme="minorHAnsi" w:hAnsiTheme="minorHAnsi"/>
      <w:sz w:val="22"/>
    </w:rPr>
  </w:style>
  <w:style w:type="paragraph" w:styleId="Heading1">
    <w:name w:val="heading 1"/>
    <w:basedOn w:val="Normal"/>
    <w:next w:val="Normal"/>
    <w:autoRedefine/>
    <w:qFormat/>
    <w:rsid w:val="00920FC9"/>
    <w:pPr>
      <w:keepNext/>
      <w:tabs>
        <w:tab w:val="left" w:pos="648"/>
      </w:tabs>
      <w:spacing w:after="60"/>
      <w:outlineLvl w:val="0"/>
    </w:pPr>
    <w:rPr>
      <w:rFonts w:cstheme="minorHAnsi"/>
      <w:b/>
      <w:bCs/>
      <w:caps/>
      <w:kern w:val="32"/>
      <w:sz w:val="36"/>
      <w:szCs w:val="32"/>
    </w:rPr>
  </w:style>
  <w:style w:type="paragraph" w:styleId="Heading2">
    <w:name w:val="heading 2"/>
    <w:basedOn w:val="Normal"/>
    <w:next w:val="Normal"/>
    <w:autoRedefine/>
    <w:qFormat/>
    <w:rsid w:val="00CB6B30"/>
    <w:pPr>
      <w:keepNext/>
      <w:tabs>
        <w:tab w:val="left" w:pos="648"/>
      </w:tabs>
      <w:spacing w:before="240" w:after="60"/>
      <w:outlineLvl w:val="1"/>
    </w:pPr>
    <w:rPr>
      <w:rFonts w:cstheme="minorHAnsi"/>
      <w:b/>
      <w:bCs/>
      <w:iCs/>
      <w:smallCaps/>
      <w:sz w:val="32"/>
      <w:szCs w:val="22"/>
    </w:rPr>
  </w:style>
  <w:style w:type="paragraph" w:styleId="Heading3">
    <w:name w:val="heading 3"/>
    <w:aliases w:val="Heading 3 Char"/>
    <w:basedOn w:val="Normal"/>
    <w:next w:val="Normal"/>
    <w:autoRedefine/>
    <w:qFormat/>
    <w:rsid w:val="002E1C65"/>
    <w:pPr>
      <w:keepNext/>
      <w:tabs>
        <w:tab w:val="left" w:pos="648"/>
      </w:tabs>
      <w:spacing w:before="240" w:after="60"/>
      <w:outlineLvl w:val="2"/>
    </w:pPr>
    <w:rPr>
      <w:rFonts w:cstheme="minorHAnsi"/>
      <w:b/>
      <w:iCs/>
      <w:color w:val="000000"/>
      <w:sz w:val="28"/>
      <w:szCs w:val="22"/>
      <w:u w:val="single"/>
    </w:rPr>
  </w:style>
  <w:style w:type="paragraph" w:styleId="Heading4">
    <w:name w:val="heading 4"/>
    <w:basedOn w:val="Normal"/>
    <w:next w:val="Normal"/>
    <w:qFormat/>
    <w:rsid w:val="00517080"/>
    <w:pPr>
      <w:keepNext/>
      <w:numPr>
        <w:ilvl w:val="3"/>
        <w:numId w:val="1"/>
      </w:numPr>
      <w:spacing w:before="240" w:after="60"/>
      <w:outlineLvl w:val="3"/>
    </w:pPr>
    <w:rPr>
      <w:b/>
      <w:bCs/>
      <w:sz w:val="28"/>
      <w:szCs w:val="28"/>
    </w:rPr>
  </w:style>
  <w:style w:type="paragraph" w:styleId="Heading5">
    <w:name w:val="heading 5"/>
    <w:basedOn w:val="Normal"/>
    <w:next w:val="Normal"/>
    <w:qFormat/>
    <w:rsid w:val="00517080"/>
    <w:pPr>
      <w:numPr>
        <w:ilvl w:val="4"/>
        <w:numId w:val="1"/>
      </w:numPr>
      <w:spacing w:before="240" w:after="60"/>
      <w:outlineLvl w:val="4"/>
    </w:pPr>
    <w:rPr>
      <w:b/>
      <w:bCs/>
      <w:i/>
      <w:iCs/>
      <w:sz w:val="26"/>
      <w:szCs w:val="26"/>
    </w:rPr>
  </w:style>
  <w:style w:type="paragraph" w:styleId="Heading6">
    <w:name w:val="heading 6"/>
    <w:basedOn w:val="Normal"/>
    <w:next w:val="Normal"/>
    <w:qFormat/>
    <w:rsid w:val="00517080"/>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517080"/>
    <w:pPr>
      <w:numPr>
        <w:ilvl w:val="6"/>
        <w:numId w:val="1"/>
      </w:numPr>
      <w:spacing w:before="240" w:after="60"/>
      <w:outlineLvl w:val="6"/>
    </w:pPr>
    <w:rPr>
      <w:rFonts w:ascii="Times New Roman" w:hAnsi="Times New Roman"/>
      <w:sz w:val="24"/>
    </w:rPr>
  </w:style>
  <w:style w:type="paragraph" w:styleId="Heading8">
    <w:name w:val="heading 8"/>
    <w:basedOn w:val="Normal"/>
    <w:next w:val="Normal"/>
    <w:qFormat/>
    <w:rsid w:val="00517080"/>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qFormat/>
    <w:rsid w:val="00517080"/>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F56475"/>
    <w:pPr>
      <w:tabs>
        <w:tab w:val="left" w:pos="360"/>
        <w:tab w:val="right" w:leader="dot" w:pos="8640"/>
      </w:tabs>
      <w:spacing w:before="180"/>
      <w:ind w:left="360" w:hanging="360"/>
    </w:pPr>
    <w:rPr>
      <w:rFonts w:cs="Arial"/>
      <w:b/>
      <w:bCs/>
      <w:caps/>
      <w:noProof/>
      <w:sz w:val="24"/>
      <w:szCs w:val="24"/>
    </w:rPr>
  </w:style>
  <w:style w:type="paragraph" w:styleId="TOC2">
    <w:name w:val="toc 2"/>
    <w:basedOn w:val="Normal"/>
    <w:next w:val="Normal"/>
    <w:autoRedefine/>
    <w:uiPriority w:val="39"/>
    <w:rsid w:val="00F56475"/>
    <w:pPr>
      <w:tabs>
        <w:tab w:val="left" w:pos="864"/>
        <w:tab w:val="right" w:leader="dot" w:pos="8640"/>
      </w:tabs>
      <w:spacing w:before="120"/>
      <w:ind w:left="864" w:hanging="504"/>
    </w:pPr>
    <w:rPr>
      <w:b/>
      <w:bCs/>
      <w:noProof/>
    </w:rPr>
  </w:style>
  <w:style w:type="paragraph" w:styleId="TOC3">
    <w:name w:val="toc 3"/>
    <w:basedOn w:val="Normal"/>
    <w:next w:val="Normal"/>
    <w:autoRedefine/>
    <w:uiPriority w:val="39"/>
    <w:rsid w:val="00F56475"/>
    <w:pPr>
      <w:tabs>
        <w:tab w:val="left" w:pos="1541"/>
        <w:tab w:val="right" w:leader="dot" w:pos="8640"/>
      </w:tabs>
      <w:spacing w:before="60"/>
      <w:ind w:left="1541" w:hanging="677"/>
    </w:pPr>
    <w:rPr>
      <w:noProof/>
    </w:rPr>
  </w:style>
  <w:style w:type="character" w:styleId="Hyperlink">
    <w:name w:val="Hyperlink"/>
    <w:basedOn w:val="DefaultParagraphFont"/>
    <w:uiPriority w:val="99"/>
    <w:rsid w:val="00517080"/>
    <w:rPr>
      <w:color w:val="0000FF"/>
      <w:u w:val="single"/>
    </w:rPr>
  </w:style>
  <w:style w:type="table" w:styleId="TableGrid">
    <w:name w:val="Table Grid"/>
    <w:basedOn w:val="TableNormal"/>
    <w:rsid w:val="005170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17080"/>
    <w:pPr>
      <w:spacing w:after="120" w:line="0" w:lineRule="atLeast"/>
      <w:ind w:left="360"/>
    </w:pPr>
    <w:rPr>
      <w:spacing w:val="-5"/>
    </w:rPr>
  </w:style>
  <w:style w:type="paragraph" w:customStyle="1" w:styleId="TableText">
    <w:name w:val="Table Text"/>
    <w:basedOn w:val="Normal"/>
    <w:rsid w:val="00517080"/>
    <w:pPr>
      <w:ind w:left="14"/>
    </w:pPr>
    <w:rPr>
      <w:spacing w:val="-5"/>
      <w:sz w:val="16"/>
    </w:rPr>
  </w:style>
  <w:style w:type="paragraph" w:styleId="Header">
    <w:name w:val="header"/>
    <w:basedOn w:val="Normal"/>
    <w:link w:val="HeaderChar"/>
    <w:uiPriority w:val="99"/>
    <w:rsid w:val="00517080"/>
    <w:pPr>
      <w:tabs>
        <w:tab w:val="center" w:pos="4320"/>
        <w:tab w:val="right" w:pos="8640"/>
      </w:tabs>
    </w:pPr>
  </w:style>
  <w:style w:type="paragraph" w:styleId="Footer">
    <w:name w:val="footer"/>
    <w:basedOn w:val="Normal"/>
    <w:link w:val="FooterChar"/>
    <w:uiPriority w:val="99"/>
    <w:rsid w:val="00517080"/>
    <w:pPr>
      <w:tabs>
        <w:tab w:val="center" w:pos="4320"/>
        <w:tab w:val="right" w:pos="8640"/>
      </w:tabs>
    </w:pPr>
  </w:style>
  <w:style w:type="paragraph" w:customStyle="1" w:styleId="StyleTableHeader10pt">
    <w:name w:val="Style Table Header + 10 pt"/>
    <w:basedOn w:val="Normal"/>
    <w:rsid w:val="00517080"/>
    <w:pPr>
      <w:spacing w:before="60"/>
      <w:jc w:val="center"/>
    </w:pPr>
    <w:rPr>
      <w:b/>
      <w:bCs/>
      <w:spacing w:val="-5"/>
    </w:rPr>
  </w:style>
  <w:style w:type="paragraph" w:customStyle="1" w:styleId="FieldText">
    <w:name w:val="FieldText"/>
    <w:basedOn w:val="Normal"/>
    <w:rsid w:val="00517080"/>
    <w:pPr>
      <w:widowControl w:val="0"/>
    </w:pPr>
  </w:style>
  <w:style w:type="paragraph" w:customStyle="1" w:styleId="FieldLabel">
    <w:name w:val="FieldLabel"/>
    <w:basedOn w:val="Normal"/>
    <w:rsid w:val="00517080"/>
    <w:pPr>
      <w:widowControl w:val="0"/>
      <w:spacing w:before="20" w:after="60"/>
    </w:pPr>
    <w:rPr>
      <w:rFonts w:ascii="Times New Roman" w:hAnsi="Times New Roman"/>
    </w:rPr>
  </w:style>
  <w:style w:type="paragraph" w:customStyle="1" w:styleId="IndentedText">
    <w:name w:val="Indented Text"/>
    <w:basedOn w:val="Normal"/>
    <w:rsid w:val="00517080"/>
    <w:pPr>
      <w:widowControl w:val="0"/>
      <w:ind w:left="360"/>
    </w:pPr>
    <w:rPr>
      <w:rFonts w:ascii="Times New Roman" w:hAnsi="Times New Roman"/>
      <w:snapToGrid w:val="0"/>
      <w:sz w:val="24"/>
    </w:rPr>
  </w:style>
  <w:style w:type="table" w:styleId="TableWeb1">
    <w:name w:val="Table Web 1"/>
    <w:basedOn w:val="TableNormal"/>
    <w:rsid w:val="0051708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llowedHyperlink">
    <w:name w:val="FollowedHyperlink"/>
    <w:basedOn w:val="DefaultParagraphFont"/>
    <w:rsid w:val="00976B1D"/>
    <w:rPr>
      <w:color w:val="800080"/>
      <w:u w:val="single"/>
    </w:rPr>
  </w:style>
  <w:style w:type="table" w:styleId="TableWeb2">
    <w:name w:val="Table Web 2"/>
    <w:basedOn w:val="TableNormal"/>
    <w:rsid w:val="005B437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Style16ptBoldBlue">
    <w:name w:val="Style 16 pt Bold Blue"/>
    <w:basedOn w:val="DefaultParagraphFont"/>
    <w:rsid w:val="00412282"/>
    <w:rPr>
      <w:b/>
      <w:bCs/>
      <w:color w:val="666699"/>
      <w:sz w:val="32"/>
    </w:rPr>
  </w:style>
  <w:style w:type="character" w:styleId="CommentReference">
    <w:name w:val="annotation reference"/>
    <w:basedOn w:val="DefaultParagraphFont"/>
    <w:uiPriority w:val="99"/>
    <w:semiHidden/>
    <w:rsid w:val="00720BB3"/>
    <w:rPr>
      <w:sz w:val="16"/>
      <w:szCs w:val="16"/>
    </w:rPr>
  </w:style>
  <w:style w:type="paragraph" w:styleId="CommentText">
    <w:name w:val="annotation text"/>
    <w:basedOn w:val="Normal"/>
    <w:link w:val="CommentTextChar"/>
    <w:uiPriority w:val="99"/>
    <w:rsid w:val="00720BB3"/>
  </w:style>
  <w:style w:type="paragraph" w:styleId="CommentSubject">
    <w:name w:val="annotation subject"/>
    <w:basedOn w:val="CommentText"/>
    <w:next w:val="CommentText"/>
    <w:semiHidden/>
    <w:rsid w:val="00720BB3"/>
    <w:rPr>
      <w:b/>
      <w:bCs/>
    </w:rPr>
  </w:style>
  <w:style w:type="paragraph" w:styleId="BalloonText">
    <w:name w:val="Balloon Text"/>
    <w:basedOn w:val="Normal"/>
    <w:semiHidden/>
    <w:rsid w:val="00720BB3"/>
    <w:rPr>
      <w:rFonts w:ascii="Tahoma" w:hAnsi="Tahoma" w:cs="Tahoma"/>
      <w:sz w:val="16"/>
      <w:szCs w:val="16"/>
    </w:rPr>
  </w:style>
  <w:style w:type="paragraph" w:styleId="Caption">
    <w:name w:val="caption"/>
    <w:basedOn w:val="Normal"/>
    <w:next w:val="Normal"/>
    <w:autoRedefine/>
    <w:qFormat/>
    <w:rsid w:val="00D0311E"/>
    <w:pPr>
      <w:spacing w:before="240"/>
    </w:pPr>
    <w:rPr>
      <w:bCs/>
      <w:color w:val="4F81BD" w:themeColor="accent1"/>
    </w:rPr>
  </w:style>
  <w:style w:type="paragraph" w:customStyle="1" w:styleId="StyleHeading1Allcaps">
    <w:name w:val="Style Heading 1 + All caps"/>
    <w:basedOn w:val="Heading1"/>
    <w:autoRedefine/>
    <w:rsid w:val="000445F4"/>
    <w:pPr>
      <w:tabs>
        <w:tab w:val="left" w:pos="720"/>
      </w:tabs>
    </w:pPr>
    <w:rPr>
      <w:caps w:val="0"/>
    </w:rPr>
  </w:style>
  <w:style w:type="character" w:styleId="PlaceholderText">
    <w:name w:val="Placeholder Text"/>
    <w:basedOn w:val="DefaultParagraphFont"/>
    <w:uiPriority w:val="99"/>
    <w:semiHidden/>
    <w:rsid w:val="006A2965"/>
    <w:rPr>
      <w:color w:val="808080"/>
    </w:rPr>
  </w:style>
  <w:style w:type="paragraph" w:customStyle="1" w:styleId="Default">
    <w:name w:val="Default"/>
    <w:rsid w:val="000B12C2"/>
    <w:pPr>
      <w:autoSpaceDE w:val="0"/>
      <w:autoSpaceDN w:val="0"/>
      <w:adjustRightInd w:val="0"/>
    </w:pPr>
    <w:rPr>
      <w:rFonts w:ascii="Calibri" w:hAnsi="Calibri" w:cs="Calibri"/>
      <w:color w:val="000000"/>
      <w:sz w:val="24"/>
      <w:szCs w:val="24"/>
    </w:rPr>
  </w:style>
  <w:style w:type="paragraph" w:styleId="TOC4">
    <w:name w:val="toc 4"/>
    <w:basedOn w:val="Normal"/>
    <w:next w:val="Normal"/>
    <w:autoRedefine/>
    <w:uiPriority w:val="39"/>
    <w:rsid w:val="008A4344"/>
    <w:pPr>
      <w:spacing w:after="100"/>
      <w:ind w:left="600"/>
    </w:pPr>
  </w:style>
  <w:style w:type="paragraph" w:styleId="ListParagraph">
    <w:name w:val="List Paragraph"/>
    <w:basedOn w:val="Normal"/>
    <w:uiPriority w:val="34"/>
    <w:qFormat/>
    <w:rsid w:val="00597C6A"/>
    <w:pPr>
      <w:spacing w:after="200" w:line="276" w:lineRule="auto"/>
      <w:ind w:left="720"/>
      <w:contextualSpacing/>
    </w:pPr>
    <w:rPr>
      <w:rFonts w:eastAsiaTheme="minorHAnsi" w:cstheme="minorBidi"/>
      <w:szCs w:val="22"/>
    </w:rPr>
  </w:style>
  <w:style w:type="character" w:customStyle="1" w:styleId="HeaderChar">
    <w:name w:val="Header Char"/>
    <w:basedOn w:val="DefaultParagraphFont"/>
    <w:link w:val="Header"/>
    <w:uiPriority w:val="99"/>
    <w:rsid w:val="00722607"/>
    <w:rPr>
      <w:rFonts w:ascii="Arial" w:hAnsi="Arial"/>
    </w:rPr>
  </w:style>
  <w:style w:type="character" w:customStyle="1" w:styleId="FooterChar">
    <w:name w:val="Footer Char"/>
    <w:basedOn w:val="DefaultParagraphFont"/>
    <w:link w:val="Footer"/>
    <w:uiPriority w:val="99"/>
    <w:rsid w:val="00722607"/>
    <w:rPr>
      <w:rFonts w:ascii="Arial" w:hAnsi="Arial"/>
    </w:rPr>
  </w:style>
  <w:style w:type="paragraph" w:styleId="Subtitle">
    <w:name w:val="Subtitle"/>
    <w:basedOn w:val="Normal"/>
    <w:next w:val="Normal"/>
    <w:link w:val="SubtitleChar"/>
    <w:qFormat/>
    <w:rsid w:val="00F753E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F753E0"/>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unhideWhenUsed/>
    <w:qFormat/>
    <w:rsid w:val="007C6D3F"/>
    <w:pPr>
      <w:keepLines/>
      <w:tabs>
        <w:tab w:val="clear" w:pos="648"/>
      </w:tab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character" w:styleId="UnresolvedMention">
    <w:name w:val="Unresolved Mention"/>
    <w:basedOn w:val="DefaultParagraphFont"/>
    <w:uiPriority w:val="99"/>
    <w:semiHidden/>
    <w:unhideWhenUsed/>
    <w:rsid w:val="00DA3CAB"/>
    <w:rPr>
      <w:color w:val="605E5C"/>
      <w:shd w:val="clear" w:color="auto" w:fill="E1DFDD"/>
    </w:rPr>
  </w:style>
  <w:style w:type="paragraph" w:styleId="Revision">
    <w:name w:val="Revision"/>
    <w:hidden/>
    <w:uiPriority w:val="99"/>
    <w:semiHidden/>
    <w:rsid w:val="00D76268"/>
    <w:rPr>
      <w:rFonts w:asciiTheme="minorHAnsi" w:hAnsiTheme="minorHAnsi"/>
      <w:sz w:val="22"/>
    </w:rPr>
  </w:style>
  <w:style w:type="paragraph" w:customStyle="1" w:styleId="Standard">
    <w:name w:val="Standard"/>
    <w:rsid w:val="00E772F6"/>
    <w:pPr>
      <w:suppressAutoHyphens/>
      <w:autoSpaceDN w:val="0"/>
      <w:spacing w:after="160" w:line="256" w:lineRule="auto"/>
      <w:textAlignment w:val="baseline"/>
    </w:pPr>
    <w:rPr>
      <w:rFonts w:ascii="Calibri" w:eastAsia="SimSun" w:hAnsi="Calibri" w:cs="Tahoma"/>
      <w:kern w:val="3"/>
      <w:sz w:val="22"/>
      <w:szCs w:val="22"/>
    </w:rPr>
  </w:style>
  <w:style w:type="character" w:customStyle="1" w:styleId="BodyTextChar">
    <w:name w:val="Body Text Char"/>
    <w:basedOn w:val="DefaultParagraphFont"/>
    <w:link w:val="BodyText"/>
    <w:rsid w:val="003C69C1"/>
    <w:rPr>
      <w:rFonts w:asciiTheme="minorHAnsi" w:hAnsiTheme="minorHAnsi"/>
      <w:spacing w:val="-5"/>
      <w:sz w:val="22"/>
    </w:rPr>
  </w:style>
  <w:style w:type="paragraph" w:customStyle="1" w:styleId="TableParagraph">
    <w:name w:val="Table Paragraph"/>
    <w:basedOn w:val="Normal"/>
    <w:uiPriority w:val="1"/>
    <w:qFormat/>
    <w:rsid w:val="00E3742A"/>
    <w:pPr>
      <w:widowControl w:val="0"/>
      <w:autoSpaceDE w:val="0"/>
      <w:autoSpaceDN w:val="0"/>
      <w:spacing w:before="5"/>
      <w:jc w:val="center"/>
    </w:pPr>
    <w:rPr>
      <w:rFonts w:ascii="Calibri" w:eastAsia="Calibri" w:hAnsi="Calibri" w:cs="Calibri"/>
      <w:szCs w:val="22"/>
    </w:rPr>
  </w:style>
  <w:style w:type="character" w:customStyle="1" w:styleId="CommentTextChar">
    <w:name w:val="Comment Text Char"/>
    <w:basedOn w:val="DefaultParagraphFont"/>
    <w:link w:val="CommentText"/>
    <w:uiPriority w:val="99"/>
    <w:rsid w:val="008F0FAB"/>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9729">
      <w:bodyDiv w:val="1"/>
      <w:marLeft w:val="0"/>
      <w:marRight w:val="0"/>
      <w:marTop w:val="0"/>
      <w:marBottom w:val="0"/>
      <w:divBdr>
        <w:top w:val="none" w:sz="0" w:space="0" w:color="auto"/>
        <w:left w:val="none" w:sz="0" w:space="0" w:color="auto"/>
        <w:bottom w:val="none" w:sz="0" w:space="0" w:color="auto"/>
        <w:right w:val="none" w:sz="0" w:space="0" w:color="auto"/>
      </w:divBdr>
    </w:div>
    <w:div w:id="69929842">
      <w:bodyDiv w:val="1"/>
      <w:marLeft w:val="0"/>
      <w:marRight w:val="0"/>
      <w:marTop w:val="0"/>
      <w:marBottom w:val="0"/>
      <w:divBdr>
        <w:top w:val="none" w:sz="0" w:space="0" w:color="auto"/>
        <w:left w:val="none" w:sz="0" w:space="0" w:color="auto"/>
        <w:bottom w:val="none" w:sz="0" w:space="0" w:color="auto"/>
        <w:right w:val="none" w:sz="0" w:space="0" w:color="auto"/>
      </w:divBdr>
    </w:div>
    <w:div w:id="152180661">
      <w:bodyDiv w:val="1"/>
      <w:marLeft w:val="0"/>
      <w:marRight w:val="0"/>
      <w:marTop w:val="0"/>
      <w:marBottom w:val="0"/>
      <w:divBdr>
        <w:top w:val="none" w:sz="0" w:space="0" w:color="auto"/>
        <w:left w:val="none" w:sz="0" w:space="0" w:color="auto"/>
        <w:bottom w:val="none" w:sz="0" w:space="0" w:color="auto"/>
        <w:right w:val="none" w:sz="0" w:space="0" w:color="auto"/>
      </w:divBdr>
    </w:div>
    <w:div w:id="205676791">
      <w:bodyDiv w:val="1"/>
      <w:marLeft w:val="0"/>
      <w:marRight w:val="0"/>
      <w:marTop w:val="0"/>
      <w:marBottom w:val="0"/>
      <w:divBdr>
        <w:top w:val="none" w:sz="0" w:space="0" w:color="auto"/>
        <w:left w:val="none" w:sz="0" w:space="0" w:color="auto"/>
        <w:bottom w:val="none" w:sz="0" w:space="0" w:color="auto"/>
        <w:right w:val="none" w:sz="0" w:space="0" w:color="auto"/>
      </w:divBdr>
    </w:div>
    <w:div w:id="231232769">
      <w:bodyDiv w:val="1"/>
      <w:marLeft w:val="0"/>
      <w:marRight w:val="0"/>
      <w:marTop w:val="0"/>
      <w:marBottom w:val="0"/>
      <w:divBdr>
        <w:top w:val="none" w:sz="0" w:space="0" w:color="auto"/>
        <w:left w:val="none" w:sz="0" w:space="0" w:color="auto"/>
        <w:bottom w:val="none" w:sz="0" w:space="0" w:color="auto"/>
        <w:right w:val="none" w:sz="0" w:space="0" w:color="auto"/>
      </w:divBdr>
    </w:div>
    <w:div w:id="307125029">
      <w:bodyDiv w:val="1"/>
      <w:marLeft w:val="0"/>
      <w:marRight w:val="0"/>
      <w:marTop w:val="0"/>
      <w:marBottom w:val="0"/>
      <w:divBdr>
        <w:top w:val="none" w:sz="0" w:space="0" w:color="auto"/>
        <w:left w:val="none" w:sz="0" w:space="0" w:color="auto"/>
        <w:bottom w:val="none" w:sz="0" w:space="0" w:color="auto"/>
        <w:right w:val="none" w:sz="0" w:space="0" w:color="auto"/>
      </w:divBdr>
    </w:div>
    <w:div w:id="313527450">
      <w:bodyDiv w:val="1"/>
      <w:marLeft w:val="0"/>
      <w:marRight w:val="0"/>
      <w:marTop w:val="0"/>
      <w:marBottom w:val="0"/>
      <w:divBdr>
        <w:top w:val="none" w:sz="0" w:space="0" w:color="auto"/>
        <w:left w:val="none" w:sz="0" w:space="0" w:color="auto"/>
        <w:bottom w:val="none" w:sz="0" w:space="0" w:color="auto"/>
        <w:right w:val="none" w:sz="0" w:space="0" w:color="auto"/>
      </w:divBdr>
    </w:div>
    <w:div w:id="325985388">
      <w:bodyDiv w:val="1"/>
      <w:marLeft w:val="0"/>
      <w:marRight w:val="0"/>
      <w:marTop w:val="0"/>
      <w:marBottom w:val="0"/>
      <w:divBdr>
        <w:top w:val="none" w:sz="0" w:space="0" w:color="auto"/>
        <w:left w:val="none" w:sz="0" w:space="0" w:color="auto"/>
        <w:bottom w:val="none" w:sz="0" w:space="0" w:color="auto"/>
        <w:right w:val="none" w:sz="0" w:space="0" w:color="auto"/>
      </w:divBdr>
    </w:div>
    <w:div w:id="330917129">
      <w:bodyDiv w:val="1"/>
      <w:marLeft w:val="0"/>
      <w:marRight w:val="0"/>
      <w:marTop w:val="0"/>
      <w:marBottom w:val="0"/>
      <w:divBdr>
        <w:top w:val="none" w:sz="0" w:space="0" w:color="auto"/>
        <w:left w:val="none" w:sz="0" w:space="0" w:color="auto"/>
        <w:bottom w:val="none" w:sz="0" w:space="0" w:color="auto"/>
        <w:right w:val="none" w:sz="0" w:space="0" w:color="auto"/>
      </w:divBdr>
    </w:div>
    <w:div w:id="372776772">
      <w:bodyDiv w:val="1"/>
      <w:marLeft w:val="0"/>
      <w:marRight w:val="0"/>
      <w:marTop w:val="0"/>
      <w:marBottom w:val="0"/>
      <w:divBdr>
        <w:top w:val="none" w:sz="0" w:space="0" w:color="auto"/>
        <w:left w:val="none" w:sz="0" w:space="0" w:color="auto"/>
        <w:bottom w:val="none" w:sz="0" w:space="0" w:color="auto"/>
        <w:right w:val="none" w:sz="0" w:space="0" w:color="auto"/>
      </w:divBdr>
    </w:div>
    <w:div w:id="384766534">
      <w:bodyDiv w:val="1"/>
      <w:marLeft w:val="0"/>
      <w:marRight w:val="0"/>
      <w:marTop w:val="0"/>
      <w:marBottom w:val="0"/>
      <w:divBdr>
        <w:top w:val="none" w:sz="0" w:space="0" w:color="auto"/>
        <w:left w:val="none" w:sz="0" w:space="0" w:color="auto"/>
        <w:bottom w:val="none" w:sz="0" w:space="0" w:color="auto"/>
        <w:right w:val="none" w:sz="0" w:space="0" w:color="auto"/>
      </w:divBdr>
    </w:div>
    <w:div w:id="400949629">
      <w:bodyDiv w:val="1"/>
      <w:marLeft w:val="0"/>
      <w:marRight w:val="0"/>
      <w:marTop w:val="0"/>
      <w:marBottom w:val="0"/>
      <w:divBdr>
        <w:top w:val="none" w:sz="0" w:space="0" w:color="auto"/>
        <w:left w:val="none" w:sz="0" w:space="0" w:color="auto"/>
        <w:bottom w:val="none" w:sz="0" w:space="0" w:color="auto"/>
        <w:right w:val="none" w:sz="0" w:space="0" w:color="auto"/>
      </w:divBdr>
    </w:div>
    <w:div w:id="416174935">
      <w:bodyDiv w:val="1"/>
      <w:marLeft w:val="0"/>
      <w:marRight w:val="0"/>
      <w:marTop w:val="0"/>
      <w:marBottom w:val="0"/>
      <w:divBdr>
        <w:top w:val="none" w:sz="0" w:space="0" w:color="auto"/>
        <w:left w:val="none" w:sz="0" w:space="0" w:color="auto"/>
        <w:bottom w:val="none" w:sz="0" w:space="0" w:color="auto"/>
        <w:right w:val="none" w:sz="0" w:space="0" w:color="auto"/>
      </w:divBdr>
    </w:div>
    <w:div w:id="525026667">
      <w:bodyDiv w:val="1"/>
      <w:marLeft w:val="0"/>
      <w:marRight w:val="0"/>
      <w:marTop w:val="0"/>
      <w:marBottom w:val="0"/>
      <w:divBdr>
        <w:top w:val="none" w:sz="0" w:space="0" w:color="auto"/>
        <w:left w:val="none" w:sz="0" w:space="0" w:color="auto"/>
        <w:bottom w:val="none" w:sz="0" w:space="0" w:color="auto"/>
        <w:right w:val="none" w:sz="0" w:space="0" w:color="auto"/>
      </w:divBdr>
    </w:div>
    <w:div w:id="536159642">
      <w:bodyDiv w:val="1"/>
      <w:marLeft w:val="0"/>
      <w:marRight w:val="0"/>
      <w:marTop w:val="0"/>
      <w:marBottom w:val="0"/>
      <w:divBdr>
        <w:top w:val="none" w:sz="0" w:space="0" w:color="auto"/>
        <w:left w:val="none" w:sz="0" w:space="0" w:color="auto"/>
        <w:bottom w:val="none" w:sz="0" w:space="0" w:color="auto"/>
        <w:right w:val="none" w:sz="0" w:space="0" w:color="auto"/>
      </w:divBdr>
    </w:div>
    <w:div w:id="575018928">
      <w:bodyDiv w:val="1"/>
      <w:marLeft w:val="0"/>
      <w:marRight w:val="0"/>
      <w:marTop w:val="0"/>
      <w:marBottom w:val="0"/>
      <w:divBdr>
        <w:top w:val="none" w:sz="0" w:space="0" w:color="auto"/>
        <w:left w:val="none" w:sz="0" w:space="0" w:color="auto"/>
        <w:bottom w:val="none" w:sz="0" w:space="0" w:color="auto"/>
        <w:right w:val="none" w:sz="0" w:space="0" w:color="auto"/>
      </w:divBdr>
    </w:div>
    <w:div w:id="582571121">
      <w:bodyDiv w:val="1"/>
      <w:marLeft w:val="0"/>
      <w:marRight w:val="0"/>
      <w:marTop w:val="0"/>
      <w:marBottom w:val="0"/>
      <w:divBdr>
        <w:top w:val="none" w:sz="0" w:space="0" w:color="auto"/>
        <w:left w:val="none" w:sz="0" w:space="0" w:color="auto"/>
        <w:bottom w:val="none" w:sz="0" w:space="0" w:color="auto"/>
        <w:right w:val="none" w:sz="0" w:space="0" w:color="auto"/>
      </w:divBdr>
    </w:div>
    <w:div w:id="653606270">
      <w:bodyDiv w:val="1"/>
      <w:marLeft w:val="0"/>
      <w:marRight w:val="0"/>
      <w:marTop w:val="0"/>
      <w:marBottom w:val="0"/>
      <w:divBdr>
        <w:top w:val="none" w:sz="0" w:space="0" w:color="auto"/>
        <w:left w:val="none" w:sz="0" w:space="0" w:color="auto"/>
        <w:bottom w:val="none" w:sz="0" w:space="0" w:color="auto"/>
        <w:right w:val="none" w:sz="0" w:space="0" w:color="auto"/>
      </w:divBdr>
    </w:div>
    <w:div w:id="654069036">
      <w:bodyDiv w:val="1"/>
      <w:marLeft w:val="0"/>
      <w:marRight w:val="0"/>
      <w:marTop w:val="0"/>
      <w:marBottom w:val="0"/>
      <w:divBdr>
        <w:top w:val="none" w:sz="0" w:space="0" w:color="auto"/>
        <w:left w:val="none" w:sz="0" w:space="0" w:color="auto"/>
        <w:bottom w:val="none" w:sz="0" w:space="0" w:color="auto"/>
        <w:right w:val="none" w:sz="0" w:space="0" w:color="auto"/>
      </w:divBdr>
    </w:div>
    <w:div w:id="677579704">
      <w:bodyDiv w:val="1"/>
      <w:marLeft w:val="0"/>
      <w:marRight w:val="0"/>
      <w:marTop w:val="0"/>
      <w:marBottom w:val="0"/>
      <w:divBdr>
        <w:top w:val="none" w:sz="0" w:space="0" w:color="auto"/>
        <w:left w:val="none" w:sz="0" w:space="0" w:color="auto"/>
        <w:bottom w:val="none" w:sz="0" w:space="0" w:color="auto"/>
        <w:right w:val="none" w:sz="0" w:space="0" w:color="auto"/>
      </w:divBdr>
    </w:div>
    <w:div w:id="683284016">
      <w:bodyDiv w:val="1"/>
      <w:marLeft w:val="0"/>
      <w:marRight w:val="0"/>
      <w:marTop w:val="0"/>
      <w:marBottom w:val="0"/>
      <w:divBdr>
        <w:top w:val="none" w:sz="0" w:space="0" w:color="auto"/>
        <w:left w:val="none" w:sz="0" w:space="0" w:color="auto"/>
        <w:bottom w:val="none" w:sz="0" w:space="0" w:color="auto"/>
        <w:right w:val="none" w:sz="0" w:space="0" w:color="auto"/>
      </w:divBdr>
    </w:div>
    <w:div w:id="856310952">
      <w:bodyDiv w:val="1"/>
      <w:marLeft w:val="0"/>
      <w:marRight w:val="0"/>
      <w:marTop w:val="0"/>
      <w:marBottom w:val="0"/>
      <w:divBdr>
        <w:top w:val="none" w:sz="0" w:space="0" w:color="auto"/>
        <w:left w:val="none" w:sz="0" w:space="0" w:color="auto"/>
        <w:bottom w:val="none" w:sz="0" w:space="0" w:color="auto"/>
        <w:right w:val="none" w:sz="0" w:space="0" w:color="auto"/>
      </w:divBdr>
    </w:div>
    <w:div w:id="896211476">
      <w:bodyDiv w:val="1"/>
      <w:marLeft w:val="0"/>
      <w:marRight w:val="0"/>
      <w:marTop w:val="0"/>
      <w:marBottom w:val="0"/>
      <w:divBdr>
        <w:top w:val="none" w:sz="0" w:space="0" w:color="auto"/>
        <w:left w:val="none" w:sz="0" w:space="0" w:color="auto"/>
        <w:bottom w:val="none" w:sz="0" w:space="0" w:color="auto"/>
        <w:right w:val="none" w:sz="0" w:space="0" w:color="auto"/>
      </w:divBdr>
    </w:div>
    <w:div w:id="913314515">
      <w:bodyDiv w:val="1"/>
      <w:marLeft w:val="0"/>
      <w:marRight w:val="0"/>
      <w:marTop w:val="0"/>
      <w:marBottom w:val="0"/>
      <w:divBdr>
        <w:top w:val="none" w:sz="0" w:space="0" w:color="auto"/>
        <w:left w:val="none" w:sz="0" w:space="0" w:color="auto"/>
        <w:bottom w:val="none" w:sz="0" w:space="0" w:color="auto"/>
        <w:right w:val="none" w:sz="0" w:space="0" w:color="auto"/>
      </w:divBdr>
    </w:div>
    <w:div w:id="928387554">
      <w:bodyDiv w:val="1"/>
      <w:marLeft w:val="0"/>
      <w:marRight w:val="0"/>
      <w:marTop w:val="0"/>
      <w:marBottom w:val="0"/>
      <w:divBdr>
        <w:top w:val="none" w:sz="0" w:space="0" w:color="auto"/>
        <w:left w:val="none" w:sz="0" w:space="0" w:color="auto"/>
        <w:bottom w:val="none" w:sz="0" w:space="0" w:color="auto"/>
        <w:right w:val="none" w:sz="0" w:space="0" w:color="auto"/>
      </w:divBdr>
    </w:div>
    <w:div w:id="967466166">
      <w:bodyDiv w:val="1"/>
      <w:marLeft w:val="0"/>
      <w:marRight w:val="0"/>
      <w:marTop w:val="0"/>
      <w:marBottom w:val="0"/>
      <w:divBdr>
        <w:top w:val="none" w:sz="0" w:space="0" w:color="auto"/>
        <w:left w:val="none" w:sz="0" w:space="0" w:color="auto"/>
        <w:bottom w:val="none" w:sz="0" w:space="0" w:color="auto"/>
        <w:right w:val="none" w:sz="0" w:space="0" w:color="auto"/>
      </w:divBdr>
    </w:div>
    <w:div w:id="972491478">
      <w:bodyDiv w:val="1"/>
      <w:marLeft w:val="0"/>
      <w:marRight w:val="0"/>
      <w:marTop w:val="0"/>
      <w:marBottom w:val="0"/>
      <w:divBdr>
        <w:top w:val="none" w:sz="0" w:space="0" w:color="auto"/>
        <w:left w:val="none" w:sz="0" w:space="0" w:color="auto"/>
        <w:bottom w:val="none" w:sz="0" w:space="0" w:color="auto"/>
        <w:right w:val="none" w:sz="0" w:space="0" w:color="auto"/>
      </w:divBdr>
    </w:div>
    <w:div w:id="978341172">
      <w:bodyDiv w:val="1"/>
      <w:marLeft w:val="0"/>
      <w:marRight w:val="0"/>
      <w:marTop w:val="0"/>
      <w:marBottom w:val="0"/>
      <w:divBdr>
        <w:top w:val="none" w:sz="0" w:space="0" w:color="auto"/>
        <w:left w:val="none" w:sz="0" w:space="0" w:color="auto"/>
        <w:bottom w:val="none" w:sz="0" w:space="0" w:color="auto"/>
        <w:right w:val="none" w:sz="0" w:space="0" w:color="auto"/>
      </w:divBdr>
    </w:div>
    <w:div w:id="1124233207">
      <w:bodyDiv w:val="1"/>
      <w:marLeft w:val="0"/>
      <w:marRight w:val="0"/>
      <w:marTop w:val="0"/>
      <w:marBottom w:val="0"/>
      <w:divBdr>
        <w:top w:val="none" w:sz="0" w:space="0" w:color="auto"/>
        <w:left w:val="none" w:sz="0" w:space="0" w:color="auto"/>
        <w:bottom w:val="none" w:sz="0" w:space="0" w:color="auto"/>
        <w:right w:val="none" w:sz="0" w:space="0" w:color="auto"/>
      </w:divBdr>
    </w:div>
    <w:div w:id="1168978991">
      <w:bodyDiv w:val="1"/>
      <w:marLeft w:val="0"/>
      <w:marRight w:val="0"/>
      <w:marTop w:val="0"/>
      <w:marBottom w:val="0"/>
      <w:divBdr>
        <w:top w:val="none" w:sz="0" w:space="0" w:color="auto"/>
        <w:left w:val="none" w:sz="0" w:space="0" w:color="auto"/>
        <w:bottom w:val="none" w:sz="0" w:space="0" w:color="auto"/>
        <w:right w:val="none" w:sz="0" w:space="0" w:color="auto"/>
      </w:divBdr>
    </w:div>
    <w:div w:id="1184830909">
      <w:bodyDiv w:val="1"/>
      <w:marLeft w:val="0"/>
      <w:marRight w:val="0"/>
      <w:marTop w:val="0"/>
      <w:marBottom w:val="0"/>
      <w:divBdr>
        <w:top w:val="none" w:sz="0" w:space="0" w:color="auto"/>
        <w:left w:val="none" w:sz="0" w:space="0" w:color="auto"/>
        <w:bottom w:val="none" w:sz="0" w:space="0" w:color="auto"/>
        <w:right w:val="none" w:sz="0" w:space="0" w:color="auto"/>
      </w:divBdr>
    </w:div>
    <w:div w:id="1200241614">
      <w:bodyDiv w:val="1"/>
      <w:marLeft w:val="0"/>
      <w:marRight w:val="0"/>
      <w:marTop w:val="0"/>
      <w:marBottom w:val="0"/>
      <w:divBdr>
        <w:top w:val="none" w:sz="0" w:space="0" w:color="auto"/>
        <w:left w:val="none" w:sz="0" w:space="0" w:color="auto"/>
        <w:bottom w:val="none" w:sz="0" w:space="0" w:color="auto"/>
        <w:right w:val="none" w:sz="0" w:space="0" w:color="auto"/>
      </w:divBdr>
    </w:div>
    <w:div w:id="1212495080">
      <w:bodyDiv w:val="1"/>
      <w:marLeft w:val="0"/>
      <w:marRight w:val="0"/>
      <w:marTop w:val="0"/>
      <w:marBottom w:val="0"/>
      <w:divBdr>
        <w:top w:val="none" w:sz="0" w:space="0" w:color="auto"/>
        <w:left w:val="none" w:sz="0" w:space="0" w:color="auto"/>
        <w:bottom w:val="none" w:sz="0" w:space="0" w:color="auto"/>
        <w:right w:val="none" w:sz="0" w:space="0" w:color="auto"/>
      </w:divBdr>
    </w:div>
    <w:div w:id="1218591494">
      <w:bodyDiv w:val="1"/>
      <w:marLeft w:val="0"/>
      <w:marRight w:val="0"/>
      <w:marTop w:val="0"/>
      <w:marBottom w:val="0"/>
      <w:divBdr>
        <w:top w:val="none" w:sz="0" w:space="0" w:color="auto"/>
        <w:left w:val="none" w:sz="0" w:space="0" w:color="auto"/>
        <w:bottom w:val="none" w:sz="0" w:space="0" w:color="auto"/>
        <w:right w:val="none" w:sz="0" w:space="0" w:color="auto"/>
      </w:divBdr>
    </w:div>
    <w:div w:id="1284383768">
      <w:bodyDiv w:val="1"/>
      <w:marLeft w:val="0"/>
      <w:marRight w:val="0"/>
      <w:marTop w:val="0"/>
      <w:marBottom w:val="0"/>
      <w:divBdr>
        <w:top w:val="none" w:sz="0" w:space="0" w:color="auto"/>
        <w:left w:val="none" w:sz="0" w:space="0" w:color="auto"/>
        <w:bottom w:val="none" w:sz="0" w:space="0" w:color="auto"/>
        <w:right w:val="none" w:sz="0" w:space="0" w:color="auto"/>
      </w:divBdr>
    </w:div>
    <w:div w:id="1309936419">
      <w:bodyDiv w:val="1"/>
      <w:marLeft w:val="0"/>
      <w:marRight w:val="0"/>
      <w:marTop w:val="0"/>
      <w:marBottom w:val="0"/>
      <w:divBdr>
        <w:top w:val="none" w:sz="0" w:space="0" w:color="auto"/>
        <w:left w:val="none" w:sz="0" w:space="0" w:color="auto"/>
        <w:bottom w:val="none" w:sz="0" w:space="0" w:color="auto"/>
        <w:right w:val="none" w:sz="0" w:space="0" w:color="auto"/>
      </w:divBdr>
    </w:div>
    <w:div w:id="1324896686">
      <w:bodyDiv w:val="1"/>
      <w:marLeft w:val="0"/>
      <w:marRight w:val="0"/>
      <w:marTop w:val="0"/>
      <w:marBottom w:val="0"/>
      <w:divBdr>
        <w:top w:val="none" w:sz="0" w:space="0" w:color="auto"/>
        <w:left w:val="none" w:sz="0" w:space="0" w:color="auto"/>
        <w:bottom w:val="none" w:sz="0" w:space="0" w:color="auto"/>
        <w:right w:val="none" w:sz="0" w:space="0" w:color="auto"/>
      </w:divBdr>
    </w:div>
    <w:div w:id="1336493839">
      <w:bodyDiv w:val="1"/>
      <w:marLeft w:val="0"/>
      <w:marRight w:val="0"/>
      <w:marTop w:val="0"/>
      <w:marBottom w:val="0"/>
      <w:divBdr>
        <w:top w:val="none" w:sz="0" w:space="0" w:color="auto"/>
        <w:left w:val="none" w:sz="0" w:space="0" w:color="auto"/>
        <w:bottom w:val="none" w:sz="0" w:space="0" w:color="auto"/>
        <w:right w:val="none" w:sz="0" w:space="0" w:color="auto"/>
      </w:divBdr>
    </w:div>
    <w:div w:id="1411000808">
      <w:bodyDiv w:val="1"/>
      <w:marLeft w:val="0"/>
      <w:marRight w:val="0"/>
      <w:marTop w:val="0"/>
      <w:marBottom w:val="0"/>
      <w:divBdr>
        <w:top w:val="none" w:sz="0" w:space="0" w:color="auto"/>
        <w:left w:val="none" w:sz="0" w:space="0" w:color="auto"/>
        <w:bottom w:val="none" w:sz="0" w:space="0" w:color="auto"/>
        <w:right w:val="none" w:sz="0" w:space="0" w:color="auto"/>
      </w:divBdr>
    </w:div>
    <w:div w:id="1567952653">
      <w:bodyDiv w:val="1"/>
      <w:marLeft w:val="0"/>
      <w:marRight w:val="0"/>
      <w:marTop w:val="0"/>
      <w:marBottom w:val="0"/>
      <w:divBdr>
        <w:top w:val="none" w:sz="0" w:space="0" w:color="auto"/>
        <w:left w:val="none" w:sz="0" w:space="0" w:color="auto"/>
        <w:bottom w:val="none" w:sz="0" w:space="0" w:color="auto"/>
        <w:right w:val="none" w:sz="0" w:space="0" w:color="auto"/>
      </w:divBdr>
    </w:div>
    <w:div w:id="1585920089">
      <w:bodyDiv w:val="1"/>
      <w:marLeft w:val="0"/>
      <w:marRight w:val="0"/>
      <w:marTop w:val="0"/>
      <w:marBottom w:val="0"/>
      <w:divBdr>
        <w:top w:val="none" w:sz="0" w:space="0" w:color="auto"/>
        <w:left w:val="none" w:sz="0" w:space="0" w:color="auto"/>
        <w:bottom w:val="none" w:sz="0" w:space="0" w:color="auto"/>
        <w:right w:val="none" w:sz="0" w:space="0" w:color="auto"/>
      </w:divBdr>
    </w:div>
    <w:div w:id="1632176727">
      <w:bodyDiv w:val="1"/>
      <w:marLeft w:val="0"/>
      <w:marRight w:val="0"/>
      <w:marTop w:val="0"/>
      <w:marBottom w:val="0"/>
      <w:divBdr>
        <w:top w:val="none" w:sz="0" w:space="0" w:color="auto"/>
        <w:left w:val="none" w:sz="0" w:space="0" w:color="auto"/>
        <w:bottom w:val="none" w:sz="0" w:space="0" w:color="auto"/>
        <w:right w:val="none" w:sz="0" w:space="0" w:color="auto"/>
      </w:divBdr>
    </w:div>
    <w:div w:id="1634941869">
      <w:bodyDiv w:val="1"/>
      <w:marLeft w:val="0"/>
      <w:marRight w:val="0"/>
      <w:marTop w:val="0"/>
      <w:marBottom w:val="0"/>
      <w:divBdr>
        <w:top w:val="none" w:sz="0" w:space="0" w:color="auto"/>
        <w:left w:val="none" w:sz="0" w:space="0" w:color="auto"/>
        <w:bottom w:val="none" w:sz="0" w:space="0" w:color="auto"/>
        <w:right w:val="none" w:sz="0" w:space="0" w:color="auto"/>
      </w:divBdr>
    </w:div>
    <w:div w:id="1646277935">
      <w:bodyDiv w:val="1"/>
      <w:marLeft w:val="0"/>
      <w:marRight w:val="0"/>
      <w:marTop w:val="0"/>
      <w:marBottom w:val="0"/>
      <w:divBdr>
        <w:top w:val="none" w:sz="0" w:space="0" w:color="auto"/>
        <w:left w:val="none" w:sz="0" w:space="0" w:color="auto"/>
        <w:bottom w:val="none" w:sz="0" w:space="0" w:color="auto"/>
        <w:right w:val="none" w:sz="0" w:space="0" w:color="auto"/>
      </w:divBdr>
    </w:div>
    <w:div w:id="1683167680">
      <w:bodyDiv w:val="1"/>
      <w:marLeft w:val="0"/>
      <w:marRight w:val="0"/>
      <w:marTop w:val="0"/>
      <w:marBottom w:val="0"/>
      <w:divBdr>
        <w:top w:val="none" w:sz="0" w:space="0" w:color="auto"/>
        <w:left w:val="none" w:sz="0" w:space="0" w:color="auto"/>
        <w:bottom w:val="none" w:sz="0" w:space="0" w:color="auto"/>
        <w:right w:val="none" w:sz="0" w:space="0" w:color="auto"/>
      </w:divBdr>
    </w:div>
    <w:div w:id="1713842679">
      <w:bodyDiv w:val="1"/>
      <w:marLeft w:val="0"/>
      <w:marRight w:val="0"/>
      <w:marTop w:val="0"/>
      <w:marBottom w:val="0"/>
      <w:divBdr>
        <w:top w:val="none" w:sz="0" w:space="0" w:color="auto"/>
        <w:left w:val="none" w:sz="0" w:space="0" w:color="auto"/>
        <w:bottom w:val="none" w:sz="0" w:space="0" w:color="auto"/>
        <w:right w:val="none" w:sz="0" w:space="0" w:color="auto"/>
      </w:divBdr>
    </w:div>
    <w:div w:id="1738433120">
      <w:bodyDiv w:val="1"/>
      <w:marLeft w:val="0"/>
      <w:marRight w:val="0"/>
      <w:marTop w:val="0"/>
      <w:marBottom w:val="0"/>
      <w:divBdr>
        <w:top w:val="none" w:sz="0" w:space="0" w:color="auto"/>
        <w:left w:val="none" w:sz="0" w:space="0" w:color="auto"/>
        <w:bottom w:val="none" w:sz="0" w:space="0" w:color="auto"/>
        <w:right w:val="none" w:sz="0" w:space="0" w:color="auto"/>
      </w:divBdr>
    </w:div>
    <w:div w:id="1756777423">
      <w:bodyDiv w:val="1"/>
      <w:marLeft w:val="0"/>
      <w:marRight w:val="0"/>
      <w:marTop w:val="0"/>
      <w:marBottom w:val="0"/>
      <w:divBdr>
        <w:top w:val="none" w:sz="0" w:space="0" w:color="auto"/>
        <w:left w:val="none" w:sz="0" w:space="0" w:color="auto"/>
        <w:bottom w:val="none" w:sz="0" w:space="0" w:color="auto"/>
        <w:right w:val="none" w:sz="0" w:space="0" w:color="auto"/>
      </w:divBdr>
    </w:div>
    <w:div w:id="1756901852">
      <w:bodyDiv w:val="1"/>
      <w:marLeft w:val="0"/>
      <w:marRight w:val="0"/>
      <w:marTop w:val="0"/>
      <w:marBottom w:val="0"/>
      <w:divBdr>
        <w:top w:val="none" w:sz="0" w:space="0" w:color="auto"/>
        <w:left w:val="none" w:sz="0" w:space="0" w:color="auto"/>
        <w:bottom w:val="none" w:sz="0" w:space="0" w:color="auto"/>
        <w:right w:val="none" w:sz="0" w:space="0" w:color="auto"/>
      </w:divBdr>
    </w:div>
    <w:div w:id="1773477485">
      <w:bodyDiv w:val="1"/>
      <w:marLeft w:val="0"/>
      <w:marRight w:val="0"/>
      <w:marTop w:val="0"/>
      <w:marBottom w:val="0"/>
      <w:divBdr>
        <w:top w:val="none" w:sz="0" w:space="0" w:color="auto"/>
        <w:left w:val="none" w:sz="0" w:space="0" w:color="auto"/>
        <w:bottom w:val="none" w:sz="0" w:space="0" w:color="auto"/>
        <w:right w:val="none" w:sz="0" w:space="0" w:color="auto"/>
      </w:divBdr>
    </w:div>
    <w:div w:id="1804419872">
      <w:bodyDiv w:val="1"/>
      <w:marLeft w:val="0"/>
      <w:marRight w:val="0"/>
      <w:marTop w:val="0"/>
      <w:marBottom w:val="0"/>
      <w:divBdr>
        <w:top w:val="none" w:sz="0" w:space="0" w:color="auto"/>
        <w:left w:val="none" w:sz="0" w:space="0" w:color="auto"/>
        <w:bottom w:val="none" w:sz="0" w:space="0" w:color="auto"/>
        <w:right w:val="none" w:sz="0" w:space="0" w:color="auto"/>
      </w:divBdr>
    </w:div>
    <w:div w:id="1847013847">
      <w:bodyDiv w:val="1"/>
      <w:marLeft w:val="0"/>
      <w:marRight w:val="0"/>
      <w:marTop w:val="0"/>
      <w:marBottom w:val="0"/>
      <w:divBdr>
        <w:top w:val="none" w:sz="0" w:space="0" w:color="auto"/>
        <w:left w:val="none" w:sz="0" w:space="0" w:color="auto"/>
        <w:bottom w:val="none" w:sz="0" w:space="0" w:color="auto"/>
        <w:right w:val="none" w:sz="0" w:space="0" w:color="auto"/>
      </w:divBdr>
    </w:div>
    <w:div w:id="1883011472">
      <w:bodyDiv w:val="1"/>
      <w:marLeft w:val="0"/>
      <w:marRight w:val="0"/>
      <w:marTop w:val="0"/>
      <w:marBottom w:val="0"/>
      <w:divBdr>
        <w:top w:val="none" w:sz="0" w:space="0" w:color="auto"/>
        <w:left w:val="none" w:sz="0" w:space="0" w:color="auto"/>
        <w:bottom w:val="none" w:sz="0" w:space="0" w:color="auto"/>
        <w:right w:val="none" w:sz="0" w:space="0" w:color="auto"/>
      </w:divBdr>
    </w:div>
    <w:div w:id="1899049551">
      <w:bodyDiv w:val="1"/>
      <w:marLeft w:val="0"/>
      <w:marRight w:val="0"/>
      <w:marTop w:val="0"/>
      <w:marBottom w:val="0"/>
      <w:divBdr>
        <w:top w:val="none" w:sz="0" w:space="0" w:color="auto"/>
        <w:left w:val="none" w:sz="0" w:space="0" w:color="auto"/>
        <w:bottom w:val="none" w:sz="0" w:space="0" w:color="auto"/>
        <w:right w:val="none" w:sz="0" w:space="0" w:color="auto"/>
      </w:divBdr>
    </w:div>
    <w:div w:id="1907760991">
      <w:bodyDiv w:val="1"/>
      <w:marLeft w:val="0"/>
      <w:marRight w:val="0"/>
      <w:marTop w:val="0"/>
      <w:marBottom w:val="0"/>
      <w:divBdr>
        <w:top w:val="none" w:sz="0" w:space="0" w:color="auto"/>
        <w:left w:val="none" w:sz="0" w:space="0" w:color="auto"/>
        <w:bottom w:val="none" w:sz="0" w:space="0" w:color="auto"/>
        <w:right w:val="none" w:sz="0" w:space="0" w:color="auto"/>
      </w:divBdr>
    </w:div>
    <w:div w:id="1913003928">
      <w:bodyDiv w:val="1"/>
      <w:marLeft w:val="0"/>
      <w:marRight w:val="0"/>
      <w:marTop w:val="0"/>
      <w:marBottom w:val="0"/>
      <w:divBdr>
        <w:top w:val="none" w:sz="0" w:space="0" w:color="auto"/>
        <w:left w:val="none" w:sz="0" w:space="0" w:color="auto"/>
        <w:bottom w:val="none" w:sz="0" w:space="0" w:color="auto"/>
        <w:right w:val="none" w:sz="0" w:space="0" w:color="auto"/>
      </w:divBdr>
    </w:div>
    <w:div w:id="2030403312">
      <w:bodyDiv w:val="1"/>
      <w:marLeft w:val="0"/>
      <w:marRight w:val="0"/>
      <w:marTop w:val="0"/>
      <w:marBottom w:val="0"/>
      <w:divBdr>
        <w:top w:val="none" w:sz="0" w:space="0" w:color="auto"/>
        <w:left w:val="none" w:sz="0" w:space="0" w:color="auto"/>
        <w:bottom w:val="none" w:sz="0" w:space="0" w:color="auto"/>
        <w:right w:val="none" w:sz="0" w:space="0" w:color="auto"/>
      </w:divBdr>
    </w:div>
    <w:div w:id="2104372446">
      <w:bodyDiv w:val="1"/>
      <w:marLeft w:val="0"/>
      <w:marRight w:val="0"/>
      <w:marTop w:val="0"/>
      <w:marBottom w:val="0"/>
      <w:divBdr>
        <w:top w:val="none" w:sz="0" w:space="0" w:color="auto"/>
        <w:left w:val="none" w:sz="0" w:space="0" w:color="auto"/>
        <w:bottom w:val="none" w:sz="0" w:space="0" w:color="auto"/>
        <w:right w:val="none" w:sz="0" w:space="0" w:color="auto"/>
      </w:divBdr>
    </w:div>
    <w:div w:id="210903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eq.mt.gov/wqinfo/QAProgram/default.mcpx"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www.littlebitterrootlakeassoc.org"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www.epa.gov/storet/"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fs.usda.gov/detail/flathead/news-events/?cid=FSEPRD518498"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deq.mt.gov/wqinfo/Standards/default.mcpx"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18A83-0CC0-4176-8403-7D3392DE5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8141</Words>
  <Characters>46410</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MT DEQ</Company>
  <LinksUpToDate>false</LinksUpToDate>
  <CharactersWithSpaces>54443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Elena Evans</dc:creator>
  <cp:lastModifiedBy>Gordon, Raeya</cp:lastModifiedBy>
  <cp:revision>5</cp:revision>
  <cp:lastPrinted>2020-07-17T22:58:00Z</cp:lastPrinted>
  <dcterms:created xsi:type="dcterms:W3CDTF">2022-07-21T17:42:00Z</dcterms:created>
  <dcterms:modified xsi:type="dcterms:W3CDTF">2023-03-21T18:54:00Z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TC012036571033</vt:lpwstr>
  </property>
</Properties>
</file>